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4" w:rsidRPr="00352BCF" w:rsidRDefault="00804B64" w:rsidP="00804B64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52BCF">
        <w:rPr>
          <w:rFonts w:ascii="Times New Roman" w:hAnsi="Times New Roman" w:cs="Times New Roman"/>
          <w:i/>
          <w:sz w:val="28"/>
          <w:szCs w:val="28"/>
          <w:lang w:val="kk-KZ"/>
        </w:rPr>
        <w:t>1-</w:t>
      </w:r>
      <w:bookmarkStart w:id="0" w:name="_GoBack"/>
      <w:r w:rsidR="0016316E" w:rsidRPr="00352BCF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Pr="00352B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осымша </w:t>
      </w:r>
      <w:bookmarkEnd w:id="0"/>
    </w:p>
    <w:p w:rsidR="0016316E" w:rsidRPr="008C22BE" w:rsidRDefault="0016316E" w:rsidP="00804B64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val="kk-KZ"/>
        </w:rPr>
      </w:pPr>
    </w:p>
    <w:p w:rsidR="00C23B3C" w:rsidRDefault="001549AC" w:rsidP="001549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49A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6316E" w:rsidRPr="001549AC">
        <w:rPr>
          <w:rFonts w:ascii="Times New Roman" w:hAnsi="Times New Roman" w:cs="Times New Roman"/>
          <w:sz w:val="28"/>
          <w:szCs w:val="28"/>
          <w:lang w:val="kk-KZ"/>
        </w:rPr>
        <w:t>арынды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316E" w:rsidRPr="001549AC">
        <w:rPr>
          <w:rFonts w:ascii="Times New Roman" w:hAnsi="Times New Roman" w:cs="Times New Roman"/>
          <w:sz w:val="28"/>
          <w:szCs w:val="28"/>
          <w:lang w:val="kk-KZ"/>
        </w:rPr>
        <w:t>балаларға арналған мамандандырылған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6316E"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е (хореографиялық өнердің кәсіпалды бағдарламасы)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C23B3C">
        <w:rPr>
          <w:rFonts w:ascii="Times New Roman" w:hAnsi="Times New Roman" w:cs="Times New Roman"/>
          <w:sz w:val="28"/>
          <w:szCs w:val="28"/>
          <w:lang w:val="kk-KZ"/>
        </w:rPr>
        <w:t xml:space="preserve">0211600- Хореографиялық өнер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 білімнің білім беру 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D5459" w:rsidRDefault="00C23B3C" w:rsidP="00804B6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4S0211601</w:t>
      </w:r>
      <w:r w:rsidR="001549AC"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1549AC" w:rsidRPr="001549AC">
        <w:rPr>
          <w:rFonts w:ascii="Times New Roman" w:hAnsi="Times New Roman" w:cs="Times New Roman"/>
          <w:sz w:val="28"/>
          <w:szCs w:val="28"/>
          <w:lang w:val="kk-KZ"/>
        </w:rPr>
        <w:t>алет әртісі біліктілігі,</w:t>
      </w:r>
      <w:r w:rsidR="001549AC" w:rsidRPr="001549AC">
        <w:rPr>
          <w:sz w:val="28"/>
          <w:szCs w:val="28"/>
          <w:lang w:val="kk-KZ"/>
        </w:rPr>
        <w:t xml:space="preserve"> </w:t>
      </w: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="001549AC" w:rsidRPr="001549AC">
        <w:rPr>
          <w:rFonts w:ascii="Times New Roman" w:hAnsi="Times New Roman" w:cs="Times New Roman"/>
          <w:sz w:val="28"/>
          <w:szCs w:val="28"/>
          <w:lang w:val="kk-KZ"/>
        </w:rPr>
        <w:t>и ансамблінің әртісі біліктілігі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9AC"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бойынша оқу </w:t>
      </w:r>
      <w:r w:rsidR="001549AC">
        <w:rPr>
          <w:rFonts w:ascii="Times New Roman" w:hAnsi="Times New Roman" w:cs="Times New Roman"/>
          <w:sz w:val="28"/>
          <w:szCs w:val="28"/>
          <w:lang w:val="kk-KZ"/>
        </w:rPr>
        <w:t xml:space="preserve">түсушілердің </w:t>
      </w:r>
    </w:p>
    <w:p w:rsidR="00804B64" w:rsidRPr="008D5459" w:rsidRDefault="0016316E" w:rsidP="00804B6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8D5459">
        <w:rPr>
          <w:rFonts w:ascii="Times New Roman" w:hAnsi="Times New Roman" w:cs="Times New Roman"/>
          <w:b/>
          <w:sz w:val="28"/>
          <w:szCs w:val="28"/>
          <w:lang w:val="kk-KZ"/>
        </w:rPr>
        <w:t>салмағы мен бойының сәйкестік нормасы</w:t>
      </w:r>
    </w:p>
    <w:tbl>
      <w:tblPr>
        <w:tblStyle w:val="a6"/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5"/>
        <w:gridCol w:w="1109"/>
        <w:gridCol w:w="735"/>
        <w:gridCol w:w="1079"/>
        <w:gridCol w:w="735"/>
        <w:gridCol w:w="1079"/>
        <w:gridCol w:w="735"/>
        <w:gridCol w:w="1079"/>
        <w:gridCol w:w="735"/>
        <w:gridCol w:w="1079"/>
        <w:gridCol w:w="735"/>
        <w:gridCol w:w="1079"/>
      </w:tblGrid>
      <w:tr w:rsidR="00804B64" w:rsidRPr="00F6707F" w:rsidTr="007B3250"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Pr="005F4D51" w:rsidRDefault="00804B64" w:rsidP="007B325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val="kk-KZ" w:eastAsia="ru-RU"/>
              </w:rPr>
              <w:t>қыздар</w:t>
            </w: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Pr="00F6707F" w:rsidRDefault="00804B64" w:rsidP="007B3250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2060"/>
                <w:lang w:val="kk-KZ" w:eastAsia="ru-RU"/>
              </w:rPr>
              <w:t>ер балалар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салмағы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val="kk-KZ" w:eastAsia="ru-RU"/>
              </w:rPr>
              <w:t>бойы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5F4D51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kk-KZ" w:eastAsia="ru-RU"/>
              </w:rPr>
              <w:t>салмагы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41,5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44,5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</w:tr>
      <w:tr w:rsidR="00804B64" w:rsidRPr="00F6707F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Pr="00F6707F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670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47,5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119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48,5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50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51,5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174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 178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 52,5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53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36,5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56,5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184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57</w:t>
            </w:r>
          </w:p>
        </w:tc>
      </w:tr>
      <w:tr w:rsidR="00804B64" w:rsidTr="007B325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131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23,5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39,5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B64" w:rsidRDefault="00804B64" w:rsidP="007B3250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</w:tbl>
    <w:p w:rsidR="00804B64" w:rsidRDefault="00804B64" w:rsidP="00804B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4B64" w:rsidRPr="008035C2" w:rsidRDefault="00804B64" w:rsidP="00352B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 xml:space="preserve"> </w:t>
      </w:r>
      <w:r w:rsidRPr="008035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4S0211601 -БАЛЕТ ӘРТІСІ БІЛІКТІЛІГІ</w:t>
      </w:r>
      <w:r w:rsidR="008D5459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 xml:space="preserve"> үшін </w:t>
      </w:r>
      <w:r w:rsidRPr="008035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ескерту</w:t>
      </w: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kk-KZ"/>
        </w:rPr>
        <w:t>:</w:t>
      </w:r>
    </w:p>
    <w:p w:rsidR="00804B64" w:rsidRDefault="00804B64" w:rsidP="00804B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804B64" w:rsidRPr="008035C2" w:rsidRDefault="00804B64" w:rsidP="00804B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- Бойы 169 см. дейін болғанда салмақ параметрлерінің ауытқуы+/- 1 кг. болуы мүмкін. </w:t>
      </w:r>
    </w:p>
    <w:p w:rsidR="00804B64" w:rsidRPr="008035C2" w:rsidRDefault="00804B64" w:rsidP="00804B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- Бойы 170 см. дейін болғанда салмақ параметрлерінің ауытқуы +/- 2 кг. болуы мүмкін.</w:t>
      </w:r>
    </w:p>
    <w:p w:rsidR="00804B64" w:rsidRDefault="00804B64" w:rsidP="00804B6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</w:p>
    <w:p w:rsidR="00804B64" w:rsidRDefault="00804B64" w:rsidP="00804B6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</w:p>
    <w:p w:rsidR="00804B64" w:rsidRPr="008035C2" w:rsidRDefault="00804B64" w:rsidP="00804B6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kk-KZ"/>
        </w:rPr>
      </w:pPr>
      <w:r w:rsidRPr="008035C2">
        <w:rPr>
          <w:rFonts w:ascii="Times New Roman" w:hAnsi="Times New Roman" w:cs="Times New Roman"/>
          <w:b/>
          <w:i/>
          <w:caps/>
          <w:sz w:val="20"/>
          <w:szCs w:val="20"/>
          <w:u w:val="single"/>
          <w:lang w:val="kk-KZ"/>
        </w:rPr>
        <w:t xml:space="preserve">4S0211602- - Би ансамблінің әртісі біліктілігі </w:t>
      </w:r>
      <w:r w:rsidR="00B80527">
        <w:rPr>
          <w:rFonts w:ascii="Times New Roman" w:hAnsi="Times New Roman" w:cs="Times New Roman"/>
          <w:b/>
          <w:i/>
          <w:caps/>
          <w:sz w:val="20"/>
          <w:szCs w:val="20"/>
          <w:u w:val="single"/>
          <w:lang w:val="kk-KZ"/>
        </w:rPr>
        <w:t xml:space="preserve"> </w:t>
      </w:r>
      <w:r w:rsidR="00B8052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үшін е</w:t>
      </w:r>
      <w:r w:rsidRPr="008035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val="kk-KZ"/>
        </w:rPr>
        <w:t>скерту</w:t>
      </w:r>
      <w:r w:rsidRPr="008035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lang w:val="kk-KZ"/>
        </w:rPr>
        <w:t>:</w:t>
      </w:r>
    </w:p>
    <w:p w:rsidR="00804B64" w:rsidRPr="008035C2" w:rsidRDefault="00804B64" w:rsidP="00804B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- Бойы 169 см. дейін болғанда салмақ параметрлерінің ауытқуы+/-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2</w:t>
      </w: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кг. болуы мүмкін. </w:t>
      </w:r>
    </w:p>
    <w:p w:rsidR="00804B64" w:rsidRPr="008035C2" w:rsidRDefault="00804B64" w:rsidP="00804B6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- Бойы 170 см. дейін болғанда салмақ параметрлерінің ауытқуы +/-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3</w:t>
      </w:r>
      <w:r w:rsidRPr="008035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 xml:space="preserve"> кг. болуы мүмкін.</w:t>
      </w:r>
    </w:p>
    <w:p w:rsidR="00804B64" w:rsidRDefault="00804B64" w:rsidP="00804B64">
      <w:pPr>
        <w:jc w:val="center"/>
        <w:rPr>
          <w:b/>
          <w:lang w:val="kk-KZ"/>
        </w:rPr>
      </w:pPr>
    </w:p>
    <w:p w:rsidR="00804B64" w:rsidRDefault="00804B64" w:rsidP="00804B64">
      <w:pPr>
        <w:jc w:val="center"/>
        <w:rPr>
          <w:b/>
          <w:lang w:val="kk-KZ"/>
        </w:rPr>
      </w:pPr>
    </w:p>
    <w:p w:rsidR="00804B64" w:rsidRPr="008079CB" w:rsidRDefault="00804B64" w:rsidP="006E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1D2F" w:rsidRPr="008079CB" w:rsidRDefault="00F91D2F" w:rsidP="00C46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E20EC" w:rsidRPr="006E20EC" w:rsidRDefault="006E20EC" w:rsidP="000B32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E20EC" w:rsidRPr="006E20EC" w:rsidSect="00352BCF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p w:rsidR="009F65F6" w:rsidRDefault="009F65F6" w:rsidP="009F6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49AC">
        <w:rPr>
          <w:rFonts w:ascii="Times New Roman" w:hAnsi="Times New Roman" w:cs="Times New Roman"/>
          <w:sz w:val="28"/>
          <w:szCs w:val="28"/>
          <w:lang w:val="kk-KZ"/>
        </w:rPr>
        <w:lastRenderedPageBreak/>
        <w:t>Дарынды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балаларға арналған мамандандырылған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е (хореографиялық өнердің кәсіпалды бағдарламасы)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0211600- Хореографиялық өнер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 білімнің білім беру бағдарлама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65F6" w:rsidRDefault="009F65F6" w:rsidP="009F65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4S0211601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алет әртісі біліктілігі,</w:t>
      </w:r>
      <w:r w:rsidRPr="001549AC">
        <w:rPr>
          <w:sz w:val="28"/>
          <w:szCs w:val="28"/>
          <w:lang w:val="kk-KZ"/>
        </w:rPr>
        <w:t xml:space="preserve"> </w:t>
      </w:r>
      <w:r w:rsidRPr="00C23B3C">
        <w:rPr>
          <w:rFonts w:ascii="Times New Roman" w:hAnsi="Times New Roman" w:cs="Times New Roman"/>
          <w:sz w:val="28"/>
          <w:szCs w:val="28"/>
          <w:lang w:val="kk-KZ"/>
        </w:rPr>
        <w:t>4S0211602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>и ансамблінің әртісі біліктілігі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49AC">
        <w:rPr>
          <w:rFonts w:ascii="Times New Roman" w:hAnsi="Times New Roman" w:cs="Times New Roman"/>
          <w:sz w:val="28"/>
          <w:szCs w:val="28"/>
          <w:lang w:val="kk-KZ"/>
        </w:rPr>
        <w:t xml:space="preserve"> бойынша оқу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түсушілердің </w:t>
      </w:r>
    </w:p>
    <w:p w:rsidR="00CF2BFA" w:rsidRPr="008C22BE" w:rsidRDefault="00CF2BFA" w:rsidP="00CF2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морфофункционалды</w:t>
      </w:r>
      <w:r w:rsidR="009F65F6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</w:t>
      </w:r>
      <w:r w:rsidRPr="008C22B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критерийлері </w:t>
      </w:r>
    </w:p>
    <w:p w:rsidR="00CF2BFA" w:rsidRPr="008C22BE" w:rsidRDefault="00CF2BFA" w:rsidP="00CF2B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140"/>
        <w:gridCol w:w="1560"/>
        <w:gridCol w:w="1838"/>
        <w:gridCol w:w="1134"/>
        <w:gridCol w:w="1561"/>
        <w:gridCol w:w="1985"/>
        <w:gridCol w:w="1560"/>
      </w:tblGrid>
      <w:tr w:rsidR="00CF2BFA" w:rsidTr="007B3250">
        <w:trPr>
          <w:trHeight w:val="6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BFA" w:rsidRPr="008C22BE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Баға </w:t>
            </w:r>
          </w:p>
        </w:tc>
        <w:tc>
          <w:tcPr>
            <w:tcW w:w="109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Ныс</w:t>
            </w:r>
            <w:r w:rsidR="009F6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морфофункционалды</w:t>
            </w:r>
            <w:proofErr w:type="spellEnd"/>
            <w:r w:rsidR="009F65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қ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критерийлер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Сахналық келбеті</w:t>
            </w:r>
          </w:p>
        </w:tc>
      </w:tr>
      <w:tr w:rsidR="00CF2BFA" w:rsidTr="007B3250">
        <w:trPr>
          <w:trHeight w:val="102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бас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шеңберінің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параметрлері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9F65F6" w:rsidP="009F65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тің </w:t>
            </w:r>
            <w:proofErr w:type="spellStart"/>
            <w:r w:rsidR="00CF2BFA"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морфологиялық</w:t>
            </w:r>
            <w:proofErr w:type="spellEnd"/>
            <w:r w:rsidR="00CF2BFA"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индекс</w:t>
            </w:r>
            <w:r w:rsidR="00B820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і</w:t>
            </w:r>
            <w:r w:rsidR="00CF2BFA"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денелі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pStyle w:val="3"/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дене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пропорциясы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(тепе-</w:t>
            </w: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теңдік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индексі</w:t>
            </w:r>
            <w:proofErr w:type="spellEnd"/>
            <w:r w:rsidRPr="000232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Салма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қ пен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бойдың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арақатынасы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Воронц</w:t>
            </w:r>
            <w:proofErr w:type="spellEnd"/>
            <w:r w:rsidR="00890B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ова</w:t>
            </w:r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тепе-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теңдік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индексі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кеуде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қуысының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шеңбері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FA" w:rsidRDefault="00CF2BFA" w:rsidP="007B325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F2BFA" w:rsidTr="007B3250">
        <w:trPr>
          <w:trHeight w:val="77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A" w:rsidRPr="00A13680" w:rsidRDefault="00CF2BFA" w:rsidP="007B3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 жақсы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Өте төмен,</w:t>
            </w:r>
            <w:r w:rsidR="00B805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төмен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өте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таза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астеноид</w:t>
            </w:r>
            <w:proofErr w:type="spellEnd"/>
          </w:p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кг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дейін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95%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одан жоғары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ұзын</w:t>
            </w:r>
            <w:proofErr w:type="spellEnd"/>
            <w:r w:rsidR="00890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аяқты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-/+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 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 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Сахналық</w:t>
            </w:r>
            <w:proofErr w:type="spellEnd"/>
          </w:p>
        </w:tc>
      </w:tr>
      <w:tr w:rsidR="00CF2BFA" w:rsidTr="007B3250">
        <w:trPr>
          <w:trHeight w:val="908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A" w:rsidRPr="00A13680" w:rsidRDefault="00CF2BFA" w:rsidP="007B3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орташадан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төмен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астеноидты-торакальды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1кг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одан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жоғары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90-94,9% 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ұзын</w:t>
            </w:r>
            <w:proofErr w:type="spellEnd"/>
            <w:r w:rsidR="00890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аяқты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 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49,01 &lt; 51,00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F412BE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</w:t>
            </w:r>
            <w:r w:rsidR="00CF2B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рташадан  төмен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F2BFA" w:rsidTr="007B3250">
        <w:trPr>
          <w:trHeight w:val="55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A" w:rsidRPr="00A13680" w:rsidRDefault="00CF2BFA" w:rsidP="007B3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торакальды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890B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85-89,9%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орташа ұзын</w:t>
            </w:r>
            <w:r w:rsidR="00890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аяқ</w:t>
            </w:r>
            <w:r w:rsidR="00890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</w:t>
            </w: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 кг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51,01  &lt; 52,99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F412BE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</w:t>
            </w:r>
            <w:r w:rsidR="00CF2B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рташадан жоғары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2BFA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Сахналық</w:t>
            </w:r>
            <w:proofErr w:type="spellEnd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405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емес</w:t>
            </w:r>
            <w:proofErr w:type="spellEnd"/>
          </w:p>
        </w:tc>
      </w:tr>
      <w:tr w:rsidR="00CF2BFA" w:rsidRPr="00352BCF" w:rsidTr="007B3250">
        <w:trPr>
          <w:trHeight w:val="7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FA" w:rsidRPr="00A13680" w:rsidRDefault="00CF2BFA" w:rsidP="007B3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ортадан жоғары, жоғары, өте жоғары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B820A1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жалпақ</w:t>
            </w:r>
            <w:r w:rsidR="00CF2BFA"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F2BFA" w:rsidRDefault="00CF2BFA" w:rsidP="00B820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өте</w:t>
            </w:r>
            <w:proofErr w:type="spellEnd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82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жалпақ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B820A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spellStart"/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бұлшықет</w:t>
            </w:r>
            <w:proofErr w:type="spellEnd"/>
            <w:r w:rsidR="00B820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і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Default="00CF2BFA" w:rsidP="00890B0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84,9%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қысқа</w:t>
            </w:r>
            <w:r w:rsidR="00890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аяқ</w:t>
            </w:r>
            <w:r w:rsidR="00890B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4 кг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және одан жоғары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от 53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және одан жоғары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0232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өте төмен, төмен, жоғары, өте жоғары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FA" w:rsidRPr="000232E4" w:rsidRDefault="00CF2BFA" w:rsidP="007B325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CF2BFA" w:rsidRPr="000232E4" w:rsidRDefault="00CF2BFA" w:rsidP="00CF2BFA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  <w:sectPr w:rsidR="00CF2BFA" w:rsidRPr="000232E4" w:rsidSect="006E20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2BFA" w:rsidRPr="00545383" w:rsidRDefault="00CF2BFA" w:rsidP="00CF2BF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i/>
          <w:sz w:val="26"/>
          <w:szCs w:val="26"/>
          <w:lang w:val="kk-KZ"/>
        </w:rPr>
        <w:lastRenderedPageBreak/>
        <w:t>2-қосымша</w:t>
      </w:r>
    </w:p>
    <w:p w:rsidR="00CF2BFA" w:rsidRDefault="00CF2BFA" w:rsidP="00CF2BF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F2BFA" w:rsidRDefault="00CF2BFA" w:rsidP="00CF2BFA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«Қазақ ұлттық хореография академиясы» КАҚ-на 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>оқуға түсу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ге  және оқуға</w:t>
      </w:r>
    </w:p>
    <w:p w:rsidR="00CF2BFA" w:rsidRDefault="00CF2BFA" w:rsidP="00CF2BFA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бөгет болатын 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>аурулар, патологиялық жай-күйлер, даму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және дене бітімі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ерекшеліктері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нің</w:t>
      </w:r>
      <w:r w:rsidRPr="00A35F3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тізбесі</w:t>
      </w:r>
    </w:p>
    <w:p w:rsidR="00CF2BFA" w:rsidRPr="00A35F3F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Жүрек бұлшық еті және клапандарының созылмалы </w:t>
      </w:r>
      <w:r w:rsidRPr="00A35F3F">
        <w:rPr>
          <w:rFonts w:ascii="Times New Roman" w:hAnsi="Times New Roman" w:cs="Times New Roman"/>
          <w:sz w:val="24"/>
          <w:szCs w:val="26"/>
          <w:lang w:val="kk-KZ"/>
        </w:rPr>
        <w:t>ревмати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змдік аурулары, сондай-ақ туа біткен жүрек ақаулары. </w:t>
      </w:r>
    </w:p>
    <w:p w:rsidR="00CF2BFA" w:rsidRPr="00A605CC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A605CC">
        <w:rPr>
          <w:rFonts w:ascii="Times New Roman" w:hAnsi="Times New Roman" w:cs="Times New Roman"/>
          <w:sz w:val="24"/>
          <w:szCs w:val="26"/>
          <w:lang w:val="kk-KZ"/>
        </w:rPr>
        <w:t>Гипертония немесе гипотонияға бейімі бар (10-11жастағы балаларда артериялық қысымның 120/80 артуы және систолалық қысымның 85 мм.рт.ст. төмендеуі кезінде) тамыр-вегетативтік дистония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</w:t>
      </w:r>
    </w:p>
    <w:p w:rsidR="00CF2BFA" w:rsidRPr="00B2507D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Табиғаты органикалық және органикалық емес жүрек-тамыр жүйесінің ф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ункционал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дық бұзылулары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кез келген этиология миокардиттеріне шалдыққаннан кейін) ырғақтың тұрақты бұзылулары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(экстрасистолия, пароксизмаль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дық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 xml:space="preserve">тахикардия, </w:t>
      </w:r>
      <w:r>
        <w:rPr>
          <w:rFonts w:ascii="Times New Roman" w:hAnsi="Times New Roman" w:cs="Times New Roman"/>
          <w:sz w:val="24"/>
          <w:szCs w:val="26"/>
          <w:lang w:val="kk-KZ"/>
        </w:rPr>
        <w:t>жүрек сезгіштігінің тұрақты бұзылулары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жүрек 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поляризаци</w:t>
      </w:r>
      <w:r>
        <w:rPr>
          <w:rFonts w:ascii="Times New Roman" w:hAnsi="Times New Roman" w:cs="Times New Roman"/>
          <w:sz w:val="24"/>
          <w:szCs w:val="26"/>
          <w:lang w:val="kk-KZ"/>
        </w:rPr>
        <w:t>ясының қайта қалпына келу процестерінің бұзылуы)</w:t>
      </w:r>
      <w:r w:rsidRPr="00B2507D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CF2BFA" w:rsidRPr="00354800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Жүрек және буындардың зақымданулары болмағанда белсенді емес фазадағы р</w:t>
      </w:r>
      <w:r w:rsidRPr="00354800">
        <w:rPr>
          <w:rFonts w:ascii="Times New Roman" w:hAnsi="Times New Roman" w:cs="Times New Roman"/>
          <w:sz w:val="24"/>
          <w:szCs w:val="26"/>
          <w:lang w:val="kk-KZ"/>
        </w:rPr>
        <w:t>евматизм 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соңғы ауырғаннан кейін кемінде 5 жыл).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>Туберкулез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дік </w:t>
      </w:r>
      <w:r w:rsidRPr="002146A7">
        <w:rPr>
          <w:rFonts w:ascii="Times New Roman" w:hAnsi="Times New Roman" w:cs="Times New Roman"/>
          <w:sz w:val="24"/>
          <w:szCs w:val="26"/>
        </w:rPr>
        <w:t>интоксикация.</w:t>
      </w:r>
    </w:p>
    <w:p w:rsidR="00CF2BFA" w:rsidRPr="00354800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Өкпе, демалу жолдары және плевра туберкулезінің жазылған </w:t>
      </w:r>
      <w:r w:rsidRPr="002146A7">
        <w:rPr>
          <w:rFonts w:ascii="Times New Roman" w:hAnsi="Times New Roman" w:cs="Times New Roman"/>
          <w:sz w:val="24"/>
          <w:szCs w:val="26"/>
        </w:rPr>
        <w:t>форм</w:t>
      </w:r>
      <w:r>
        <w:rPr>
          <w:rFonts w:ascii="Times New Roman" w:hAnsi="Times New Roman" w:cs="Times New Roman"/>
          <w:sz w:val="24"/>
          <w:szCs w:val="26"/>
          <w:lang w:val="kk-KZ"/>
        </w:rPr>
        <w:t>алар</w:t>
      </w:r>
      <w:r w:rsidRPr="002146A7">
        <w:rPr>
          <w:rFonts w:ascii="Times New Roman" w:hAnsi="Times New Roman" w:cs="Times New Roman"/>
          <w:sz w:val="24"/>
          <w:szCs w:val="26"/>
        </w:rPr>
        <w:t>ы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Тұқым қуалаушылық, туа біткен және жүре пайда болған сипаттағы созылмалы ерекшеліксіз </w:t>
      </w:r>
      <w:r w:rsidRPr="002146A7">
        <w:rPr>
          <w:rFonts w:ascii="Times New Roman" w:hAnsi="Times New Roman" w:cs="Times New Roman"/>
          <w:sz w:val="24"/>
          <w:szCs w:val="26"/>
        </w:rPr>
        <w:t>бронх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-өкпе аурулары (созылмалы ерекшеліксіз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пневмониябронхоэктати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калық ауру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бронхит,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бронхиаль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ды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астма </w:t>
      </w:r>
      <w:r>
        <w:rPr>
          <w:rFonts w:ascii="Times New Roman" w:hAnsi="Times New Roman" w:cs="Times New Roman"/>
          <w:sz w:val="24"/>
          <w:szCs w:val="26"/>
          <w:lang w:val="kk-KZ"/>
        </w:rPr>
        <w:t>және анамнезде оның болуы және т.б.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Асқынған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пневмони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ядан кейінгі жай-күй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толық сауыққанда (сауыққаннан кейін 3 айға дейін)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F46252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Асқазан-ішек жолдарының созылмалы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ұлтабардың жаралы ауруы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гастродуоденит,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гастрит,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колит,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энтерит,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энтероколит,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ерекшеліксіз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мезаденит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)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ұзақ ремиссия дәрежесінде болса да. 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АІЖ ф</w:t>
      </w:r>
      <w:proofErr w:type="spellStart"/>
      <w:r>
        <w:rPr>
          <w:rFonts w:ascii="Times New Roman" w:hAnsi="Times New Roman" w:cs="Times New Roman"/>
          <w:sz w:val="24"/>
          <w:szCs w:val="26"/>
        </w:rPr>
        <w:t>ункционал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дық бұзылулары</w:t>
      </w:r>
      <w:r w:rsidRPr="002146A7">
        <w:rPr>
          <w:rFonts w:ascii="Times New Roman" w:hAnsi="Times New Roman" w:cs="Times New Roman"/>
          <w:sz w:val="24"/>
          <w:szCs w:val="26"/>
        </w:rPr>
        <w:t>* (</w:t>
      </w:r>
      <w:r>
        <w:rPr>
          <w:rFonts w:ascii="Times New Roman" w:hAnsi="Times New Roman" w:cs="Times New Roman"/>
          <w:sz w:val="24"/>
          <w:szCs w:val="26"/>
          <w:lang w:val="kk-KZ"/>
        </w:rPr>
        <w:t>диспансерлік есептен алып тастағаннан кейін міндетті түрде бауыр функцияларын зерттегеннен кейін оқуға болады, оң нәтижелер болғанда)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F46252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Бауыр және өт шығару жолдарының аурулары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(гепатит,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ангиохолит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өт-тас ауруы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холецистит)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ұзақ ремиссия дәрежесінде болса да. 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Өт шығару жолдарының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искинезия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>*.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Инфекциялық гепатитпен ауырғаннан кейінгі жай-күй </w:t>
      </w:r>
      <w:r w:rsidRPr="002146A7">
        <w:rPr>
          <w:rFonts w:ascii="Times New Roman" w:hAnsi="Times New Roman" w:cs="Times New Roman"/>
          <w:sz w:val="24"/>
          <w:szCs w:val="26"/>
        </w:rPr>
        <w:t>(диспансер</w:t>
      </w:r>
      <w:r>
        <w:rPr>
          <w:rFonts w:ascii="Times New Roman" w:hAnsi="Times New Roman" w:cs="Times New Roman"/>
          <w:sz w:val="24"/>
          <w:szCs w:val="26"/>
          <w:lang w:val="kk-KZ"/>
        </w:rPr>
        <w:t>лік есептен алып тастағанға дейін</w:t>
      </w:r>
      <w:r w:rsidRPr="002146A7">
        <w:rPr>
          <w:rFonts w:ascii="Times New Roman" w:hAnsi="Times New Roman" w:cs="Times New Roman"/>
          <w:sz w:val="24"/>
          <w:szCs w:val="26"/>
        </w:rPr>
        <w:t>)**.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>дизентерия.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Диспансерлік есептен алып тастағанға дейін асқынған дизентериядан кейінгі жай-күй. 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Ұйқы безінің аурулары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Бүйрек және зәр шығару жолдарының созылмалы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гломеруло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-нефрит,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пиелонефрит </w:t>
      </w:r>
      <w:r>
        <w:rPr>
          <w:rFonts w:ascii="Times New Roman" w:hAnsi="Times New Roman" w:cs="Times New Roman"/>
          <w:sz w:val="24"/>
          <w:szCs w:val="26"/>
          <w:lang w:val="kk-KZ"/>
        </w:rPr>
        <w:t>және басқалар</w:t>
      </w:r>
      <w:r w:rsidRPr="002146A7">
        <w:rPr>
          <w:rFonts w:ascii="Times New Roman" w:hAnsi="Times New Roman" w:cs="Times New Roman"/>
          <w:sz w:val="24"/>
          <w:szCs w:val="26"/>
        </w:rPr>
        <w:t xml:space="preserve">)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зәр шығару жүйесінің туа біткен даму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аномали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ялары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Бүйрек және зәр шығару жолдарының асқынған ауруларынан кейінгі жай-күй</w:t>
      </w:r>
      <w:r w:rsidRPr="002146A7">
        <w:rPr>
          <w:rFonts w:ascii="Times New Roman" w:hAnsi="Times New Roman" w:cs="Times New Roman"/>
          <w:sz w:val="24"/>
          <w:szCs w:val="26"/>
        </w:rPr>
        <w:t xml:space="preserve"> (</w:t>
      </w:r>
      <w:r>
        <w:rPr>
          <w:rFonts w:ascii="Times New Roman" w:hAnsi="Times New Roman" w:cs="Times New Roman"/>
          <w:sz w:val="24"/>
          <w:szCs w:val="26"/>
          <w:lang w:val="kk-KZ"/>
        </w:rPr>
        <w:t>сауыққаннан кейін 1 жылға дейін)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lastRenderedPageBreak/>
        <w:t>Өте айқын көрінбейтін т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иреотоксикоз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32B2C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232B2C">
        <w:rPr>
          <w:rFonts w:ascii="Times New Roman" w:hAnsi="Times New Roman" w:cs="Times New Roman"/>
          <w:sz w:val="24"/>
          <w:szCs w:val="26"/>
          <w:lang w:val="kk-KZ"/>
        </w:rPr>
        <w:t xml:space="preserve">Қалқанша бездің 3 дәрежедегі және одан үлкен ұлғаюы, </w:t>
      </w:r>
      <w:r w:rsidRPr="00232B2C">
        <w:rPr>
          <w:rFonts w:ascii="Times New Roman" w:hAnsi="Times New Roman" w:cs="Times New Roman"/>
          <w:sz w:val="24"/>
          <w:szCs w:val="26"/>
        </w:rPr>
        <w:t>тиреотоксикоз</w:t>
      </w:r>
      <w:r w:rsidRPr="00232B2C">
        <w:rPr>
          <w:rFonts w:ascii="Times New Roman" w:hAnsi="Times New Roman" w:cs="Times New Roman"/>
          <w:sz w:val="24"/>
          <w:szCs w:val="26"/>
          <w:lang w:val="kk-KZ"/>
        </w:rPr>
        <w:t xml:space="preserve"> құбылыстары болмаса да. </w:t>
      </w:r>
    </w:p>
    <w:p w:rsidR="00CF2BFA" w:rsidRPr="00232B2C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М</w:t>
      </w:r>
      <w:proofErr w:type="spellStart"/>
      <w:r w:rsidRPr="00232B2C">
        <w:rPr>
          <w:rFonts w:ascii="Times New Roman" w:hAnsi="Times New Roman" w:cs="Times New Roman"/>
          <w:sz w:val="24"/>
          <w:szCs w:val="26"/>
        </w:rPr>
        <w:t>икседема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, ауру дәрежесіне қарамастан. 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Қант </w:t>
      </w:r>
      <w:r w:rsidRPr="002146A7">
        <w:rPr>
          <w:rFonts w:ascii="Times New Roman" w:hAnsi="Times New Roman" w:cs="Times New Roman"/>
          <w:sz w:val="24"/>
          <w:szCs w:val="26"/>
        </w:rPr>
        <w:t>диабет</w:t>
      </w:r>
      <w:r>
        <w:rPr>
          <w:rFonts w:ascii="Times New Roman" w:hAnsi="Times New Roman" w:cs="Times New Roman"/>
          <w:sz w:val="24"/>
          <w:szCs w:val="26"/>
          <w:lang w:val="kk-KZ"/>
        </w:rPr>
        <w:t>і көріну дәрежесіне қарамастан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Семіру.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Қан жүйесінің барлық аурулары олардың көріну дәрежесіне қарамастан. </w:t>
      </w:r>
    </w:p>
    <w:p w:rsidR="00CF2BFA" w:rsidRPr="006B60B8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Дене жаттығуларымен жаттығуға болмайтын немесе оларды толыққанды орындауға қиындық келтіретін қимыл-тірек аппаратының туа біткен және жүре біткен</w:t>
      </w:r>
      <w:r w:rsidRPr="002146A7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деформаци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ялары.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2146A7">
        <w:rPr>
          <w:rFonts w:ascii="Times New Roman" w:hAnsi="Times New Roman" w:cs="Times New Roman"/>
          <w:sz w:val="24"/>
          <w:szCs w:val="26"/>
        </w:rPr>
        <w:t xml:space="preserve">Остеомиелит </w:t>
      </w:r>
      <w:r>
        <w:rPr>
          <w:rFonts w:ascii="Times New Roman" w:hAnsi="Times New Roman" w:cs="Times New Roman"/>
          <w:sz w:val="24"/>
          <w:szCs w:val="26"/>
          <w:lang w:val="kk-KZ"/>
        </w:rPr>
        <w:t>ж</w:t>
      </w:r>
      <w:proofErr w:type="gramEnd"/>
      <w:r>
        <w:rPr>
          <w:rFonts w:ascii="Times New Roman" w:hAnsi="Times New Roman" w:cs="Times New Roman"/>
          <w:sz w:val="24"/>
          <w:szCs w:val="26"/>
          <w:lang w:val="kk-KZ"/>
        </w:rPr>
        <w:t xml:space="preserve">әне оның салдарлары </w:t>
      </w:r>
      <w:r w:rsidRPr="002146A7">
        <w:rPr>
          <w:rFonts w:ascii="Times New Roman" w:hAnsi="Times New Roman" w:cs="Times New Roman"/>
          <w:sz w:val="24"/>
          <w:szCs w:val="26"/>
        </w:rPr>
        <w:t xml:space="preserve"> (</w:t>
      </w:r>
      <w:r>
        <w:rPr>
          <w:rFonts w:ascii="Times New Roman" w:hAnsi="Times New Roman" w:cs="Times New Roman"/>
          <w:sz w:val="24"/>
          <w:szCs w:val="26"/>
          <w:lang w:val="kk-KZ"/>
        </w:rPr>
        <w:t>қай жерде орналасқанына қарамастан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П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ерифери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ялық тамырлардың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Рейно </w:t>
      </w:r>
      <w:r w:rsidRPr="002146A7">
        <w:rPr>
          <w:rFonts w:ascii="Times New Roman" w:hAnsi="Times New Roman" w:cs="Times New Roman"/>
          <w:sz w:val="24"/>
          <w:szCs w:val="26"/>
        </w:rPr>
        <w:t>синдром</w:t>
      </w:r>
      <w:r>
        <w:rPr>
          <w:rFonts w:ascii="Times New Roman" w:hAnsi="Times New Roman" w:cs="Times New Roman"/>
          <w:sz w:val="24"/>
          <w:szCs w:val="26"/>
          <w:lang w:val="kk-KZ"/>
        </w:rPr>
        <w:t>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аяқ көктамырларының түйнеліп кеңеюі және б.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Шап, ұма, сан және басқа жерлердің жарықтары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бір немесе екі шап шығыршықтарының кеңеюі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жарық алдындағы жай-күй</w:t>
      </w:r>
      <w:r w:rsidRPr="002146A7">
        <w:rPr>
          <w:rFonts w:ascii="Times New Roman" w:hAnsi="Times New Roman" w:cs="Times New Roman"/>
          <w:sz w:val="24"/>
          <w:szCs w:val="26"/>
        </w:rPr>
        <w:t>),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Жарық</w:t>
      </w:r>
      <w:r w:rsidR="001F22EB">
        <w:rPr>
          <w:rFonts w:ascii="Times New Roman" w:hAnsi="Times New Roman" w:cs="Times New Roman"/>
          <w:sz w:val="24"/>
          <w:szCs w:val="26"/>
          <w:lang w:val="kk-KZ"/>
        </w:rPr>
        <w:t>қа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="00EF13F6">
        <w:rPr>
          <w:rFonts w:ascii="Times New Roman" w:hAnsi="Times New Roman" w:cs="Times New Roman"/>
          <w:sz w:val="24"/>
          <w:szCs w:val="26"/>
          <w:lang w:val="kk-KZ"/>
        </w:rPr>
        <w:t xml:space="preserve">операция </w:t>
      </w:r>
      <w:r w:rsidR="001F22EB">
        <w:rPr>
          <w:rFonts w:ascii="Times New Roman" w:hAnsi="Times New Roman" w:cs="Times New Roman"/>
          <w:sz w:val="24"/>
          <w:szCs w:val="26"/>
          <w:lang w:val="kk-KZ"/>
        </w:rPr>
        <w:t xml:space="preserve">жасаудан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кейінгі жай-күй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рұқсат мерзімін хирург өзі белгілейді</w:t>
      </w:r>
      <w:r w:rsidRPr="002146A7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бірақ операциядан кейін 6 айдан кейін)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Аналық без немесе жыныс безінің шемені. </w:t>
      </w:r>
    </w:p>
    <w:p w:rsidR="00CF2BFA" w:rsidRPr="0040032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Құрсақ қуысында немесе шап өзегінде бір немесе екі жыныс безінің тұрып қалуы.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Күшену кезінде тік ішек қабырғаларының барлық қабаттарының созылуы (тік ішектің айналуына жақын)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>аппендицит.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A07474">
        <w:rPr>
          <w:rFonts w:ascii="Times New Roman" w:hAnsi="Times New Roman" w:cs="Times New Roman"/>
          <w:sz w:val="24"/>
          <w:szCs w:val="26"/>
          <w:lang w:val="kk-KZ"/>
        </w:rPr>
        <w:t>А</w:t>
      </w:r>
      <w:proofErr w:type="spellStart"/>
      <w:r w:rsidRPr="00A07474">
        <w:rPr>
          <w:rFonts w:ascii="Times New Roman" w:hAnsi="Times New Roman" w:cs="Times New Roman"/>
          <w:sz w:val="24"/>
          <w:szCs w:val="26"/>
        </w:rPr>
        <w:t>ппендэктомия</w:t>
      </w:r>
      <w:proofErr w:type="spellEnd"/>
      <w:r w:rsidRPr="00A07474">
        <w:rPr>
          <w:rFonts w:ascii="Times New Roman" w:hAnsi="Times New Roman" w:cs="Times New Roman"/>
          <w:sz w:val="24"/>
          <w:szCs w:val="26"/>
          <w:lang w:val="kk-KZ"/>
        </w:rPr>
        <w:t>дан</w:t>
      </w:r>
      <w:r w:rsidRPr="00A07474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A07474">
        <w:rPr>
          <w:rFonts w:ascii="Times New Roman" w:hAnsi="Times New Roman" w:cs="Times New Roman"/>
          <w:sz w:val="24"/>
          <w:szCs w:val="26"/>
        </w:rPr>
        <w:t>кейінгі</w:t>
      </w:r>
      <w:proofErr w:type="spellEnd"/>
      <w:r w:rsidRPr="00A07474">
        <w:rPr>
          <w:rFonts w:ascii="Times New Roman" w:hAnsi="Times New Roman" w:cs="Times New Roman"/>
          <w:sz w:val="24"/>
          <w:szCs w:val="26"/>
          <w:lang w:val="kk-KZ"/>
        </w:rPr>
        <w:t xml:space="preserve"> жай-күй</w:t>
      </w:r>
      <w:r w:rsidR="00EF13F6">
        <w:rPr>
          <w:rFonts w:ascii="Times New Roman" w:hAnsi="Times New Roman" w:cs="Times New Roman"/>
          <w:sz w:val="24"/>
          <w:szCs w:val="26"/>
          <w:lang w:val="kk-KZ"/>
        </w:rPr>
        <w:t xml:space="preserve">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рұқсат мерзімін хирург өзі белгілейді</w:t>
      </w:r>
      <w:r w:rsidRPr="002146A7">
        <w:rPr>
          <w:rFonts w:ascii="Times New Roman" w:hAnsi="Times New Roman" w:cs="Times New Roman"/>
          <w:sz w:val="24"/>
          <w:szCs w:val="26"/>
        </w:rPr>
        <w:t>,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бірақ операциядан кем дегенде 6 айдан кейін)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496A4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Операциядан кейінгі қатаймаған тыртықтар мен зақымданулар, дене жаттығуларын орындау кезінде сол немесе басқа буындағы тиісті тіндермен қосылып кеткен, қозғалысқа кедергі келтіретін тыртықтар, жабыспа ауруы.  </w:t>
      </w:r>
    </w:p>
    <w:p w:rsidR="00CF2BFA" w:rsidRPr="00337F02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 Аяқ-қолдардың толық функциясын бұзбайтын буын, сүйек, бұлшық ет, сіңір аурулары.  </w:t>
      </w:r>
    </w:p>
    <w:p w:rsidR="00CF2BFA" w:rsidRPr="00337F02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Табан, балтыр, жамбас, омыртқа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еформация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остеохондропатия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сы. 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Омыртқа және кеуде қуысының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еформация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сы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2 дәрежелі және одан да жоғары </w:t>
      </w:r>
      <w:r w:rsidRPr="002146A7">
        <w:rPr>
          <w:rFonts w:ascii="Times New Roman" w:hAnsi="Times New Roman" w:cs="Times New Roman"/>
          <w:sz w:val="24"/>
          <w:szCs w:val="26"/>
        </w:rPr>
        <w:t>деформация).</w:t>
      </w:r>
    </w:p>
    <w:p w:rsidR="00CF2BFA" w:rsidRPr="00FE55FC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Бір аяқтың 2 см дейін қысқа болуы, жүрісі дұрыс болса да. </w:t>
      </w:r>
    </w:p>
    <w:p w:rsidR="00CF2BFA" w:rsidRPr="005B650A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Табан күмбезінің өте айқын бойлай және көлденең жайпақталуы. </w:t>
      </w:r>
    </w:p>
    <w:p w:rsidR="00CF2BFA" w:rsidRPr="005B650A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Толық тірек қабілетін бұзатын аяқ саусақтарының құрысуы, қисаюы немесе болмауы.  </w:t>
      </w:r>
    </w:p>
    <w:p w:rsidR="00CF2BFA" w:rsidRPr="005B650A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Қайта қалпына келтіру кезеңінде сүйектердің шоғырланып сынулары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рұқсат мерзімі хирург-травматологпен келісуден кейін белгіленеді)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CF2BFA" w:rsidRPr="005B650A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Қолдың бір немесе бірнеше саусақтарының болмауы. </w:t>
      </w:r>
    </w:p>
    <w:p w:rsidR="00CF2BFA" w:rsidRPr="005B650A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Орталық нерв жүйесінің органикалық аурулары, сондай-ақ шалдыққан аурулардың салдарлары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(менингитэнцефалит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і,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 xml:space="preserve">арахноидит, </w:t>
      </w:r>
      <w:r>
        <w:rPr>
          <w:rFonts w:ascii="Times New Roman" w:hAnsi="Times New Roman" w:cs="Times New Roman"/>
          <w:sz w:val="24"/>
          <w:szCs w:val="26"/>
          <w:lang w:val="kk-KZ"/>
        </w:rPr>
        <w:t>бас сүйегінің жабық сынығы және б.)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CF2BFA" w:rsidRPr="005B650A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Жеңіл дәрежедегі мидың шайқалуынан кейінгі жай-күй 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сауыққаннан кейін бір жылға дейін)</w:t>
      </w:r>
      <w:r w:rsidRPr="005B650A"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 xml:space="preserve">Эпилепсия,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оның ішінде </w:t>
      </w:r>
      <w:r w:rsidRPr="002146A7">
        <w:rPr>
          <w:rFonts w:ascii="Times New Roman" w:hAnsi="Times New Roman" w:cs="Times New Roman"/>
          <w:sz w:val="24"/>
          <w:szCs w:val="26"/>
        </w:rPr>
        <w:t>анамнез</w:t>
      </w:r>
      <w:r>
        <w:rPr>
          <w:rFonts w:ascii="Times New Roman" w:hAnsi="Times New Roman" w:cs="Times New Roman"/>
          <w:sz w:val="24"/>
          <w:szCs w:val="26"/>
          <w:lang w:val="kk-KZ"/>
        </w:rPr>
        <w:t>де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 xml:space="preserve">Шизофрения,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барлық </w:t>
      </w:r>
      <w:r w:rsidRPr="002146A7">
        <w:rPr>
          <w:rFonts w:ascii="Times New Roman" w:hAnsi="Times New Roman" w:cs="Times New Roman"/>
          <w:sz w:val="24"/>
          <w:szCs w:val="26"/>
        </w:rPr>
        <w:t>форм</w:t>
      </w:r>
      <w:r>
        <w:rPr>
          <w:rFonts w:ascii="Times New Roman" w:hAnsi="Times New Roman" w:cs="Times New Roman"/>
          <w:sz w:val="24"/>
          <w:szCs w:val="26"/>
          <w:lang w:val="kk-KZ"/>
        </w:rPr>
        <w:t>алар</w:t>
      </w:r>
      <w:r w:rsidRPr="002146A7">
        <w:rPr>
          <w:rFonts w:ascii="Times New Roman" w:hAnsi="Times New Roman" w:cs="Times New Roman"/>
          <w:sz w:val="24"/>
          <w:szCs w:val="26"/>
        </w:rPr>
        <w:t>ы.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Тұрақты емес н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евроз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дар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айқын көрінбейтін </w:t>
      </w:r>
      <w:r w:rsidRPr="002146A7">
        <w:rPr>
          <w:rFonts w:ascii="Times New Roman" w:hAnsi="Times New Roman" w:cs="Times New Roman"/>
          <w:sz w:val="24"/>
          <w:szCs w:val="26"/>
        </w:rPr>
        <w:t>психопатия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lastRenderedPageBreak/>
        <w:t xml:space="preserve">Қалшылдайтын бұзылушылықтар көріністерінің барлық түрлері және жасырын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тетани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яның болуы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</w:t>
      </w:r>
      <w:r w:rsidRPr="002146A7">
        <w:rPr>
          <w:rFonts w:ascii="Times New Roman" w:hAnsi="Times New Roman" w:cs="Times New Roman"/>
          <w:sz w:val="24"/>
          <w:szCs w:val="26"/>
        </w:rPr>
        <w:t>нгиоспазма</w:t>
      </w:r>
      <w:r>
        <w:rPr>
          <w:rFonts w:ascii="Times New Roman" w:hAnsi="Times New Roman" w:cs="Times New Roman"/>
          <w:sz w:val="24"/>
          <w:szCs w:val="26"/>
          <w:lang w:val="kk-KZ"/>
        </w:rPr>
        <w:t>дарға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бастың айналуына және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вегетатив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тік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дисфункци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яның барлық көріністеріне бейімді тамыр-вегетативтік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дисфункци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ялар. </w:t>
      </w:r>
    </w:p>
    <w:p w:rsidR="00CF2BFA" w:rsidRPr="00852AD8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Жұлын жарақаттары және ауруларының салдарлары.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Жүйке текті сипаттағы бұлшық ет жүйесінің созылмалы аурулары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миопати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я және б.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Барлық жерлерде орналасқан перифериялық жүйкелердің аурулары және зақымдану салдарлары қалған көріністері болғанда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дисктер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диспази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ясы мен аурулары негізінде дамып келе жатқан екінші қайталанған </w:t>
      </w:r>
      <w:r w:rsidRPr="002146A7">
        <w:rPr>
          <w:rFonts w:ascii="Times New Roman" w:hAnsi="Times New Roman" w:cs="Times New Roman"/>
          <w:sz w:val="24"/>
          <w:szCs w:val="26"/>
        </w:rPr>
        <w:t>неврит</w:t>
      </w:r>
      <w:r>
        <w:rPr>
          <w:rFonts w:ascii="Times New Roman" w:hAnsi="Times New Roman" w:cs="Times New Roman"/>
          <w:sz w:val="24"/>
          <w:szCs w:val="26"/>
          <w:lang w:val="kk-KZ"/>
        </w:rPr>
        <w:t>тер және б.</w:t>
      </w:r>
      <w:r w:rsidRPr="002146A7">
        <w:rPr>
          <w:rFonts w:ascii="Times New Roman" w:hAnsi="Times New Roman" w:cs="Times New Roman"/>
          <w:sz w:val="24"/>
          <w:szCs w:val="26"/>
        </w:rPr>
        <w:t>), полиомиелит</w:t>
      </w:r>
      <w:r>
        <w:rPr>
          <w:rFonts w:ascii="Times New Roman" w:hAnsi="Times New Roman" w:cs="Times New Roman"/>
          <w:sz w:val="24"/>
          <w:szCs w:val="26"/>
          <w:lang w:val="kk-KZ"/>
        </w:rPr>
        <w:t>тен қалған көріністер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Іріңді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эпитимпанит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мезотимпанит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Отиттен қалған тұрақты көріністер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>дабыл жарғағының құрғақ префорацияларының болуы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CF2BFA" w:rsidRPr="00F90B7E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Бір немесе екі құлақтың естуінің тұрақты төмендеуі (5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метрге дейін сыбырлап сөйлегенде. </w:t>
      </w:r>
    </w:p>
    <w:p w:rsidR="00CF2BFA" w:rsidRPr="00F90B7E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90B7E">
        <w:rPr>
          <w:rFonts w:ascii="Times New Roman" w:hAnsi="Times New Roman" w:cs="Times New Roman"/>
          <w:sz w:val="24"/>
          <w:szCs w:val="26"/>
        </w:rPr>
        <w:t>Кохлеар</w:t>
      </w:r>
      <w:proofErr w:type="spellEnd"/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лық </w:t>
      </w:r>
      <w:r w:rsidRPr="00F90B7E">
        <w:rPr>
          <w:rFonts w:ascii="Times New Roman" w:hAnsi="Times New Roman" w:cs="Times New Roman"/>
          <w:sz w:val="24"/>
          <w:szCs w:val="26"/>
        </w:rPr>
        <w:t>неврит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Лабиринтопатия</w:t>
      </w:r>
      <w:proofErr w:type="spellEnd"/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2146A7">
        <w:rPr>
          <w:rFonts w:ascii="Times New Roman" w:hAnsi="Times New Roman" w:cs="Times New Roman"/>
          <w:sz w:val="24"/>
          <w:szCs w:val="26"/>
        </w:rPr>
        <w:t>синусит</w:t>
      </w:r>
    </w:p>
    <w:p w:rsidR="00CF2BFA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Демалу функциясының және мұрынмен демалудың бұзушылығымен мұрын, жұтқыншақ, көмей, кеңірдек қуысындағы д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еформация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 және созылмалы өзгерістер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мұрын қалқандарының, көмей бездерінің </w:t>
      </w:r>
      <w:r w:rsidRPr="002146A7">
        <w:rPr>
          <w:rFonts w:ascii="Times New Roman" w:hAnsi="Times New Roman" w:cs="Times New Roman"/>
          <w:sz w:val="24"/>
          <w:szCs w:val="26"/>
        </w:rPr>
        <w:t>гипертрофия</w:t>
      </w:r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r>
        <w:rPr>
          <w:rFonts w:ascii="Times New Roman" w:hAnsi="Times New Roman" w:cs="Times New Roman"/>
          <w:sz w:val="24"/>
          <w:szCs w:val="26"/>
          <w:lang w:val="kk-KZ"/>
        </w:rPr>
        <w:t>тыртықтар және б.</w:t>
      </w:r>
      <w:r>
        <w:rPr>
          <w:rFonts w:ascii="Times New Roman" w:hAnsi="Times New Roman" w:cs="Times New Roman"/>
          <w:sz w:val="24"/>
          <w:szCs w:val="26"/>
        </w:rPr>
        <w:t>)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Көзге көрінетін т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оксико-аллерги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ялық </w:t>
      </w:r>
      <w:r w:rsidRPr="002146A7">
        <w:rPr>
          <w:rFonts w:ascii="Times New Roman" w:hAnsi="Times New Roman" w:cs="Times New Roman"/>
          <w:sz w:val="24"/>
          <w:szCs w:val="26"/>
        </w:rPr>
        <w:t>тонзиллит.</w:t>
      </w:r>
    </w:p>
    <w:p w:rsidR="00CF2BFA" w:rsidRPr="00176DC2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Созылмалы тонзиллит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қарапайым </w:t>
      </w:r>
      <w:r w:rsidRPr="002146A7">
        <w:rPr>
          <w:rFonts w:ascii="Times New Roman" w:hAnsi="Times New Roman" w:cs="Times New Roman"/>
          <w:sz w:val="24"/>
          <w:szCs w:val="26"/>
        </w:rPr>
        <w:t xml:space="preserve">форма) </w:t>
      </w:r>
      <w:r>
        <w:rPr>
          <w:rFonts w:ascii="Times New Roman" w:hAnsi="Times New Roman" w:cs="Times New Roman"/>
          <w:sz w:val="24"/>
          <w:szCs w:val="26"/>
          <w:lang w:val="kk-KZ"/>
        </w:rPr>
        <w:t>ем</w:t>
      </w:r>
      <w:r w:rsidRPr="002146A7">
        <w:rPr>
          <w:rFonts w:ascii="Times New Roman" w:hAnsi="Times New Roman" w:cs="Times New Roman"/>
          <w:sz w:val="24"/>
          <w:szCs w:val="26"/>
        </w:rPr>
        <w:t>д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елгенге және диспансерлік есептен алып тастағанға дейін. </w:t>
      </w:r>
    </w:p>
    <w:p w:rsidR="00CF2BFA" w:rsidRPr="007D2F1A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 Созылмалы түрдегі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к</w:t>
      </w: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өзге көрінетін созылмалы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 xml:space="preserve">трахеит, ларингит, </w:t>
      </w: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 xml:space="preserve">фарингит, </w:t>
      </w:r>
      <w:r w:rsidRPr="00F90B7E">
        <w:rPr>
          <w:rFonts w:ascii="Times New Roman" w:hAnsi="Times New Roman" w:cs="Times New Roman"/>
          <w:sz w:val="24"/>
          <w:szCs w:val="26"/>
          <w:lang w:val="kk-KZ"/>
        </w:rPr>
        <w:t xml:space="preserve">созылмалы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>ларинготрахеит.</w:t>
      </w:r>
    </w:p>
    <w:p w:rsidR="00CF2BFA" w:rsidRPr="007D2F1A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  <w:lang w:val="kk-KZ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Көзге көрінетін </w:t>
      </w:r>
      <w:r w:rsidRPr="007D2F1A">
        <w:rPr>
          <w:rFonts w:ascii="Times New Roman" w:hAnsi="Times New Roman" w:cs="Times New Roman"/>
          <w:sz w:val="24"/>
          <w:szCs w:val="26"/>
          <w:lang w:val="kk-KZ"/>
        </w:rPr>
        <w:t xml:space="preserve">логоневроз.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Қыли көзділік, тым түсініксіз сөйлеу.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Сасық тұмау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t>Пародонтоз.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Жоғары және төменгі жақтың туа біткен деформациясы.  </w:t>
      </w:r>
    </w:p>
    <w:p w:rsidR="00CF2BFA" w:rsidRPr="00BF62EF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Үнемі көзілдірік киюді талап ететін барлық рефракциялық бұзылушылықтар түрлері.</w:t>
      </w:r>
    </w:p>
    <w:p w:rsidR="00CF2BFA" w:rsidRPr="00BF62EF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Түзетусіз екі көздің кемінде 0,6  көру жітілігі.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Көздің мүйізгек қабығының және тамыр қабығының қайталанатын, созылмалы және үдемелі аурулары </w:t>
      </w:r>
      <w:r w:rsidRPr="002146A7">
        <w:rPr>
          <w:rFonts w:ascii="Times New Roman" w:hAnsi="Times New Roman" w:cs="Times New Roman"/>
          <w:sz w:val="24"/>
          <w:szCs w:val="26"/>
        </w:rPr>
        <w:t>(кератит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тер, </w:t>
      </w:r>
      <w:r w:rsidRPr="002146A7">
        <w:rPr>
          <w:rFonts w:ascii="Times New Roman" w:hAnsi="Times New Roman" w:cs="Times New Roman"/>
          <w:sz w:val="24"/>
          <w:szCs w:val="26"/>
        </w:rPr>
        <w:t>ирит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тер,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увеит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тер</w:t>
      </w:r>
      <w:r w:rsidRPr="002146A7">
        <w:rPr>
          <w:rFonts w:ascii="Times New Roman" w:hAnsi="Times New Roman" w:cs="Times New Roman"/>
          <w:sz w:val="24"/>
          <w:szCs w:val="26"/>
        </w:rPr>
        <w:t xml:space="preserve">);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көз торының және көру жүйкесінің аурулары </w:t>
      </w:r>
      <w:r w:rsidRPr="002146A7">
        <w:rPr>
          <w:rFonts w:ascii="Times New Roman" w:hAnsi="Times New Roman" w:cs="Times New Roman"/>
          <w:sz w:val="24"/>
          <w:szCs w:val="26"/>
        </w:rPr>
        <w:t>(пигмент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тік </w:t>
      </w:r>
      <w:r w:rsidRPr="002146A7">
        <w:rPr>
          <w:rFonts w:ascii="Times New Roman" w:hAnsi="Times New Roman" w:cs="Times New Roman"/>
          <w:sz w:val="24"/>
          <w:szCs w:val="26"/>
        </w:rPr>
        <w:t xml:space="preserve">ретинит, </w:t>
      </w:r>
      <w:r>
        <w:rPr>
          <w:rFonts w:ascii="Times New Roman" w:hAnsi="Times New Roman" w:cs="Times New Roman"/>
          <w:sz w:val="24"/>
          <w:szCs w:val="26"/>
          <w:lang w:val="kk-KZ"/>
        </w:rPr>
        <w:t>көз торының қабатталуы, көру жүйкесінің</w:t>
      </w:r>
      <w:r w:rsidRPr="002146A7">
        <w:rPr>
          <w:rFonts w:ascii="Times New Roman" w:hAnsi="Times New Roman" w:cs="Times New Roman"/>
          <w:sz w:val="24"/>
          <w:szCs w:val="26"/>
        </w:rPr>
        <w:t xml:space="preserve"> атрофия</w:t>
      </w:r>
      <w:r>
        <w:rPr>
          <w:rFonts w:ascii="Times New Roman" w:hAnsi="Times New Roman" w:cs="Times New Roman"/>
          <w:sz w:val="24"/>
          <w:szCs w:val="26"/>
          <w:lang w:val="kk-KZ"/>
        </w:rPr>
        <w:t>сы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Емделуі қиын созылмалы және жаралы </w:t>
      </w:r>
      <w:r w:rsidRPr="002146A7">
        <w:rPr>
          <w:rFonts w:ascii="Times New Roman" w:hAnsi="Times New Roman" w:cs="Times New Roman"/>
          <w:sz w:val="24"/>
          <w:szCs w:val="26"/>
        </w:rPr>
        <w:t>блефарит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. 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Көз жасы бездерінің және көз жасы каналының созылмалы қабынуы</w:t>
      </w:r>
      <w:r w:rsidRPr="002146A7">
        <w:rPr>
          <w:rFonts w:ascii="Times New Roman" w:hAnsi="Times New Roman" w:cs="Times New Roman"/>
          <w:sz w:val="24"/>
          <w:szCs w:val="26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>Б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инокуляр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лық көрудің болмауы. 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Үйлескен қылилық </w:t>
      </w:r>
      <w:r w:rsidRPr="00CE4924">
        <w:rPr>
          <w:rFonts w:ascii="Times New Roman" w:hAnsi="Times New Roman" w:cs="Times New Roman"/>
          <w:sz w:val="24"/>
          <w:szCs w:val="26"/>
        </w:rPr>
        <w:t>20</w:t>
      </w:r>
      <w:r w:rsidRPr="00CE4924">
        <w:rPr>
          <w:rFonts w:ascii="Times New Roman" w:hAnsi="Times New Roman" w:cs="Times New Roman"/>
          <w:sz w:val="24"/>
          <w:szCs w:val="26"/>
          <w:lang w:val="kk-KZ"/>
        </w:rPr>
        <w:t xml:space="preserve"> артық</w:t>
      </w:r>
      <w:r>
        <w:rPr>
          <w:rFonts w:ascii="Times New Roman" w:hAnsi="Times New Roman" w:cs="Times New Roman"/>
          <w:sz w:val="24"/>
          <w:szCs w:val="26"/>
          <w:lang w:val="kk-KZ"/>
        </w:rPr>
        <w:t>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Бір немесе екі көзде 20 артық көру шегінің шектелуі.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Үдемелі алыстан нашар көрушілік, </w:t>
      </w:r>
      <w:r w:rsidRPr="002146A7">
        <w:rPr>
          <w:rFonts w:ascii="Times New Roman" w:hAnsi="Times New Roman" w:cs="Times New Roman"/>
          <w:sz w:val="24"/>
          <w:szCs w:val="26"/>
        </w:rPr>
        <w:t>«</w:t>
      </w:r>
      <w:r>
        <w:rPr>
          <w:rFonts w:ascii="Times New Roman" w:hAnsi="Times New Roman" w:cs="Times New Roman"/>
          <w:sz w:val="24"/>
          <w:szCs w:val="26"/>
          <w:lang w:val="kk-KZ"/>
        </w:rPr>
        <w:t>жоғары алыстан нашар көрушілік</w:t>
      </w:r>
      <w:r w:rsidRPr="002146A7">
        <w:rPr>
          <w:rFonts w:ascii="Times New Roman" w:hAnsi="Times New Roman" w:cs="Times New Roman"/>
          <w:sz w:val="24"/>
          <w:szCs w:val="26"/>
        </w:rPr>
        <w:t xml:space="preserve">». 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Көз түбінде 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дегенератив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>тік өзгерістермен м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иопия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 –</w:t>
      </w:r>
      <w:r>
        <w:rPr>
          <w:rFonts w:ascii="Times New Roman" w:hAnsi="Times New Roman" w:cs="Times New Roman"/>
          <w:sz w:val="24"/>
          <w:szCs w:val="26"/>
          <w:lang w:val="kk-KZ"/>
        </w:rPr>
        <w:t xml:space="preserve"> дәрежесіне қарамастан. 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Терінің ауруы </w:t>
      </w:r>
      <w:r w:rsidRPr="002146A7">
        <w:rPr>
          <w:rFonts w:ascii="Times New Roman" w:hAnsi="Times New Roman" w:cs="Times New Roman"/>
          <w:sz w:val="24"/>
          <w:szCs w:val="26"/>
        </w:rPr>
        <w:t>(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эпидермолиз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склеродактими</w:t>
      </w:r>
      <w:proofErr w:type="spellEnd"/>
      <w:r>
        <w:rPr>
          <w:rFonts w:ascii="Times New Roman" w:hAnsi="Times New Roman" w:cs="Times New Roman"/>
          <w:sz w:val="24"/>
          <w:szCs w:val="26"/>
          <w:lang w:val="kk-KZ"/>
        </w:rPr>
        <w:t xml:space="preserve">ямен </w:t>
      </w:r>
      <w:r w:rsidRPr="002146A7">
        <w:rPr>
          <w:rFonts w:ascii="Times New Roman" w:hAnsi="Times New Roman" w:cs="Times New Roman"/>
          <w:sz w:val="24"/>
          <w:szCs w:val="26"/>
        </w:rPr>
        <w:t xml:space="preserve">склеродермия, псориаз, </w:t>
      </w:r>
      <w:proofErr w:type="spellStart"/>
      <w:r w:rsidRPr="002146A7">
        <w:rPr>
          <w:rFonts w:ascii="Times New Roman" w:hAnsi="Times New Roman" w:cs="Times New Roman"/>
          <w:sz w:val="24"/>
          <w:szCs w:val="26"/>
        </w:rPr>
        <w:t>кератодермия</w:t>
      </w:r>
      <w:proofErr w:type="spellEnd"/>
      <w:r w:rsidRPr="002146A7">
        <w:rPr>
          <w:rFonts w:ascii="Times New Roman" w:hAnsi="Times New Roman" w:cs="Times New Roman"/>
          <w:sz w:val="24"/>
          <w:szCs w:val="26"/>
        </w:rPr>
        <w:t>, экзем</w:t>
      </w:r>
      <w:r>
        <w:rPr>
          <w:rFonts w:ascii="Times New Roman" w:hAnsi="Times New Roman" w:cs="Times New Roman"/>
          <w:sz w:val="24"/>
          <w:szCs w:val="26"/>
          <w:lang w:val="kk-KZ"/>
        </w:rPr>
        <w:t>аларжәне басқа тері аурулары</w:t>
      </w:r>
      <w:r w:rsidRPr="002146A7">
        <w:rPr>
          <w:rFonts w:ascii="Times New Roman" w:hAnsi="Times New Roman" w:cs="Times New Roman"/>
          <w:sz w:val="24"/>
          <w:szCs w:val="26"/>
        </w:rPr>
        <w:t>).</w:t>
      </w:r>
    </w:p>
    <w:p w:rsidR="00CF2BFA" w:rsidRPr="002146A7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2146A7">
        <w:rPr>
          <w:rFonts w:ascii="Times New Roman" w:hAnsi="Times New Roman" w:cs="Times New Roman"/>
          <w:sz w:val="24"/>
          <w:szCs w:val="26"/>
        </w:rPr>
        <w:lastRenderedPageBreak/>
        <w:t>Нейродермит*.</w:t>
      </w:r>
    </w:p>
    <w:p w:rsidR="00CF2BFA" w:rsidRPr="00544D11" w:rsidRDefault="00CF2BFA" w:rsidP="00CF2B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  <w:lang w:val="kk-KZ"/>
        </w:rPr>
        <w:t xml:space="preserve">Салмағы, бойы және кеуде көлемі бойынша орташа жас нормаларынан екі сигмадан артық дене дамуының қалып қоюы. </w:t>
      </w:r>
    </w:p>
    <w:p w:rsidR="00CF2BFA" w:rsidRDefault="00CF2BFA" w:rsidP="00CF2BFA">
      <w:pPr>
        <w:jc w:val="center"/>
        <w:rPr>
          <w:b/>
          <w:lang w:val="kk-KZ"/>
        </w:rPr>
      </w:pPr>
    </w:p>
    <w:p w:rsidR="00CF2BFA" w:rsidRPr="002146A7" w:rsidRDefault="00CF2BFA" w:rsidP="00CF2BF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Ескерту</w:t>
      </w:r>
      <w:r w:rsidRPr="002146A7">
        <w:rPr>
          <w:rFonts w:ascii="Times New Roman" w:hAnsi="Times New Roman" w:cs="Times New Roman"/>
          <w:b/>
          <w:sz w:val="26"/>
          <w:szCs w:val="26"/>
        </w:rPr>
        <w:t>:</w:t>
      </w:r>
    </w:p>
    <w:p w:rsidR="00CF2BFA" w:rsidRPr="00130E7D" w:rsidRDefault="00CF2BFA" w:rsidP="00CF2B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6"/>
          <w:lang w:val="kk-KZ"/>
        </w:rPr>
      </w:pPr>
      <w:r>
        <w:rPr>
          <w:rFonts w:ascii="Times New Roman" w:hAnsi="Times New Roman" w:cs="Times New Roman"/>
          <w:szCs w:val="26"/>
          <w:lang w:val="kk-KZ"/>
        </w:rPr>
        <w:t xml:space="preserve">Осы тізбемен қарастырылған жағымсыз түрде өтетін, формасы мен дәрежесі аса көзге көрінетін барлық аурулар, патологиялық күйлер аса зарарлы болып табылады. </w:t>
      </w:r>
    </w:p>
    <w:p w:rsidR="00CF2BFA" w:rsidRPr="005B650A" w:rsidRDefault="00CF2BFA" w:rsidP="00CF2B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6"/>
          <w:lang w:val="kk-KZ"/>
        </w:rPr>
      </w:pPr>
      <w:r w:rsidRPr="00015BB5">
        <w:rPr>
          <w:rFonts w:ascii="Times New Roman" w:hAnsi="Times New Roman" w:cs="Times New Roman"/>
          <w:szCs w:val="26"/>
          <w:lang w:val="kk-KZ"/>
        </w:rPr>
        <w:t>**</w:t>
      </w:r>
      <w:r>
        <w:rPr>
          <w:rFonts w:ascii="Times New Roman" w:hAnsi="Times New Roman" w:cs="Times New Roman"/>
          <w:szCs w:val="26"/>
          <w:lang w:val="kk-KZ"/>
        </w:rPr>
        <w:t xml:space="preserve">Диспансерлік есептен алып тастау бойынша оқуға рұқсат беру бауыр функцияларын міндетті түрде зерттегеннен кейін, жақсы нәтижелер болғанда, мүмкін болады.  </w:t>
      </w:r>
    </w:p>
    <w:p w:rsidR="00CF2BFA" w:rsidRPr="005B650A" w:rsidRDefault="00CF2BFA" w:rsidP="00CF2B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6"/>
          <w:lang w:val="kk-KZ"/>
        </w:rPr>
      </w:pPr>
      <w:r>
        <w:rPr>
          <w:rFonts w:ascii="Times New Roman" w:hAnsi="Times New Roman" w:cs="Times New Roman"/>
          <w:szCs w:val="26"/>
          <w:lang w:val="kk-KZ"/>
        </w:rPr>
        <w:t xml:space="preserve">Жұлдызшалармен белгіленген ауруларда рұқсат тек аса дарынды балалар үшін берілуі мүмкін. </w:t>
      </w:r>
    </w:p>
    <w:p w:rsidR="00CF2BFA" w:rsidRPr="00F90B7E" w:rsidRDefault="00CF2BFA" w:rsidP="00CF2B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6"/>
          <w:lang w:val="kk-KZ"/>
        </w:rPr>
      </w:pPr>
      <w:r w:rsidRPr="005E3558">
        <w:rPr>
          <w:rFonts w:ascii="Times New Roman" w:hAnsi="Times New Roman" w:cs="Times New Roman"/>
          <w:szCs w:val="26"/>
          <w:lang w:val="kk-KZ"/>
        </w:rPr>
        <w:t xml:space="preserve">Осы Тізбе «Балалар мен аналарға емдеу профилактикалық көмек көрсетудің бас басқармасының бастығы Е.И. Андреев </w:t>
      </w:r>
      <w:r w:rsidRPr="00F90B7E">
        <w:rPr>
          <w:rFonts w:ascii="Times New Roman" w:hAnsi="Times New Roman" w:cs="Times New Roman"/>
          <w:szCs w:val="26"/>
          <w:lang w:val="kk-KZ"/>
        </w:rPr>
        <w:t>20.12.1978 ж</w:t>
      </w:r>
      <w:r w:rsidRPr="005E3558">
        <w:rPr>
          <w:rFonts w:ascii="Times New Roman" w:hAnsi="Times New Roman" w:cs="Times New Roman"/>
          <w:szCs w:val="26"/>
          <w:lang w:val="kk-KZ"/>
        </w:rPr>
        <w:t>.</w:t>
      </w:r>
      <w:r w:rsidRPr="00F90B7E">
        <w:rPr>
          <w:rFonts w:ascii="Times New Roman" w:hAnsi="Times New Roman" w:cs="Times New Roman"/>
          <w:szCs w:val="26"/>
          <w:lang w:val="kk-KZ"/>
        </w:rPr>
        <w:t xml:space="preserve"> №11- 6/45 </w:t>
      </w:r>
      <w:r w:rsidRPr="005E3558">
        <w:rPr>
          <w:rFonts w:ascii="Times New Roman" w:hAnsi="Times New Roman" w:cs="Times New Roman"/>
          <w:szCs w:val="26"/>
          <w:lang w:val="kk-KZ"/>
        </w:rPr>
        <w:t xml:space="preserve">бекіткен және Ресей Федерациясының Мәдениет министрлігі қабылдаған «А.Я. Ваганова атындағы Орыс балет академиясы» жоғары кәсіптік білім берудің федералдық мемлекеттік білім беру мекемесінің </w:t>
      </w:r>
      <w:r w:rsidRPr="00F90B7E">
        <w:rPr>
          <w:rFonts w:ascii="Times New Roman" w:hAnsi="Times New Roman" w:cs="Times New Roman"/>
          <w:szCs w:val="26"/>
          <w:lang w:val="kk-KZ"/>
        </w:rPr>
        <w:t>«</w:t>
      </w:r>
      <w:r>
        <w:rPr>
          <w:rFonts w:ascii="Times New Roman" w:hAnsi="Times New Roman" w:cs="Times New Roman"/>
          <w:szCs w:val="26"/>
          <w:lang w:val="kk-KZ"/>
        </w:rPr>
        <w:t xml:space="preserve">Хореографиялық училищелерге түсуге бөгет болатын аурулар, </w:t>
      </w:r>
      <w:r w:rsidRPr="00F90B7E">
        <w:rPr>
          <w:rFonts w:ascii="Times New Roman" w:hAnsi="Times New Roman" w:cs="Times New Roman"/>
          <w:szCs w:val="26"/>
          <w:lang w:val="kk-KZ"/>
        </w:rPr>
        <w:t>патологи</w:t>
      </w:r>
      <w:r>
        <w:rPr>
          <w:rFonts w:ascii="Times New Roman" w:hAnsi="Times New Roman" w:cs="Times New Roman"/>
          <w:szCs w:val="26"/>
          <w:lang w:val="kk-KZ"/>
        </w:rPr>
        <w:t>ялық күйлер,</w:t>
      </w:r>
      <w:r w:rsidR="008B6220">
        <w:rPr>
          <w:rFonts w:ascii="Times New Roman" w:hAnsi="Times New Roman" w:cs="Times New Roman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Cs w:val="26"/>
          <w:lang w:val="kk-KZ"/>
        </w:rPr>
        <w:t xml:space="preserve">дененің дамуы және дене бітімінің ерекшеліктері» негізінде жасалды. </w:t>
      </w:r>
    </w:p>
    <w:p w:rsidR="00CF2BFA" w:rsidRPr="008C22BE" w:rsidRDefault="00CF2BFA" w:rsidP="00CF2BFA">
      <w:pPr>
        <w:jc w:val="center"/>
        <w:rPr>
          <w:b/>
          <w:lang w:val="kk-KZ"/>
        </w:rPr>
      </w:pPr>
    </w:p>
    <w:p w:rsidR="00CF2BFA" w:rsidRPr="000232E4" w:rsidRDefault="00CF2BFA" w:rsidP="00CF2BFA">
      <w:pPr>
        <w:jc w:val="center"/>
        <w:rPr>
          <w:b/>
          <w:lang w:val="kk-KZ"/>
        </w:rPr>
      </w:pPr>
    </w:p>
    <w:p w:rsidR="00CF2BFA" w:rsidRDefault="00CF2BFA" w:rsidP="00CF2BFA">
      <w:pPr>
        <w:jc w:val="center"/>
        <w:rPr>
          <w:b/>
          <w:lang w:val="kk-KZ"/>
        </w:rPr>
      </w:pPr>
    </w:p>
    <w:p w:rsidR="00A853E4" w:rsidRPr="000B32CD" w:rsidRDefault="00A853E4" w:rsidP="00CF2BFA">
      <w:pPr>
        <w:tabs>
          <w:tab w:val="left" w:pos="709"/>
        </w:tabs>
        <w:spacing w:after="0" w:line="240" w:lineRule="auto"/>
        <w:ind w:firstLine="709"/>
        <w:jc w:val="both"/>
        <w:rPr>
          <w:lang w:val="kk-KZ"/>
        </w:rPr>
      </w:pPr>
    </w:p>
    <w:sectPr w:rsidR="00A853E4" w:rsidRPr="000B32CD" w:rsidSect="00CF2BF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7339"/>
    <w:multiLevelType w:val="hybridMultilevel"/>
    <w:tmpl w:val="897A88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8E3471"/>
    <w:multiLevelType w:val="hybridMultilevel"/>
    <w:tmpl w:val="47F4C82E"/>
    <w:lvl w:ilvl="0" w:tplc="04023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70D2"/>
    <w:multiLevelType w:val="hybridMultilevel"/>
    <w:tmpl w:val="2432FB64"/>
    <w:lvl w:ilvl="0" w:tplc="B8169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33C"/>
    <w:rsid w:val="000B32CD"/>
    <w:rsid w:val="001549AC"/>
    <w:rsid w:val="0016316E"/>
    <w:rsid w:val="001958FB"/>
    <w:rsid w:val="001D5B43"/>
    <w:rsid w:val="001F22EB"/>
    <w:rsid w:val="002070EB"/>
    <w:rsid w:val="002428E1"/>
    <w:rsid w:val="002F65DF"/>
    <w:rsid w:val="00310F9E"/>
    <w:rsid w:val="00335B92"/>
    <w:rsid w:val="00352BCF"/>
    <w:rsid w:val="004E4D2B"/>
    <w:rsid w:val="00564B05"/>
    <w:rsid w:val="006751A3"/>
    <w:rsid w:val="006E20EC"/>
    <w:rsid w:val="006E706B"/>
    <w:rsid w:val="007744CD"/>
    <w:rsid w:val="007809D7"/>
    <w:rsid w:val="00794EFF"/>
    <w:rsid w:val="007B3250"/>
    <w:rsid w:val="00804B64"/>
    <w:rsid w:val="00890B08"/>
    <w:rsid w:val="008B6220"/>
    <w:rsid w:val="008D5459"/>
    <w:rsid w:val="00911540"/>
    <w:rsid w:val="009F65F6"/>
    <w:rsid w:val="00A45A15"/>
    <w:rsid w:val="00A853E4"/>
    <w:rsid w:val="00A85878"/>
    <w:rsid w:val="00B80527"/>
    <w:rsid w:val="00B820A1"/>
    <w:rsid w:val="00C067F1"/>
    <w:rsid w:val="00C1733C"/>
    <w:rsid w:val="00C23B3C"/>
    <w:rsid w:val="00C46528"/>
    <w:rsid w:val="00C547BD"/>
    <w:rsid w:val="00CE1F1C"/>
    <w:rsid w:val="00CF2BFA"/>
    <w:rsid w:val="00D03651"/>
    <w:rsid w:val="00E22F07"/>
    <w:rsid w:val="00EF13F6"/>
    <w:rsid w:val="00F412BE"/>
    <w:rsid w:val="00F531B0"/>
    <w:rsid w:val="00F7522F"/>
    <w:rsid w:val="00F91D2F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F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BFA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6528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C46528"/>
    <w:rPr>
      <w:rFonts w:eastAsiaTheme="minorHAnsi"/>
      <w:lang w:eastAsia="en-US"/>
    </w:rPr>
  </w:style>
  <w:style w:type="paragraph" w:styleId="a5">
    <w:name w:val="No Spacing"/>
    <w:uiPriority w:val="1"/>
    <w:qFormat/>
    <w:rsid w:val="00C46528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C46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F2B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EW</cp:lastModifiedBy>
  <cp:revision>22</cp:revision>
  <dcterms:created xsi:type="dcterms:W3CDTF">2020-04-24T12:26:00Z</dcterms:created>
  <dcterms:modified xsi:type="dcterms:W3CDTF">2020-04-27T11:30:00Z</dcterms:modified>
</cp:coreProperties>
</file>