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9" w:rsidRDefault="007D6FC7" w:rsidP="00F918B9">
      <w:pPr>
        <w:autoSpaceDE w:val="0"/>
        <w:autoSpaceDN w:val="0"/>
        <w:adjustRightInd w:val="0"/>
        <w:spacing w:after="0" w:line="240" w:lineRule="auto"/>
        <w:rPr>
          <w:sz w:val="36"/>
          <w:szCs w:val="36"/>
          <w:lang w:val="kk-KZ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40F982A" wp14:editId="554D651D">
            <wp:simplePos x="0" y="0"/>
            <wp:positionH relativeFrom="column">
              <wp:posOffset>4618355</wp:posOffset>
            </wp:positionH>
            <wp:positionV relativeFrom="paragraph">
              <wp:posOffset>-103505</wp:posOffset>
            </wp:positionV>
            <wp:extent cx="1062990" cy="765175"/>
            <wp:effectExtent l="0" t="0" r="3810" b="0"/>
            <wp:wrapSquare wrapText="bothSides"/>
            <wp:docPr id="2" name="Рисунок 2" descr="C:\Users\ETO\Desktop\u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O\Desktop\u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9B754FC" wp14:editId="29441613">
            <wp:simplePos x="0" y="0"/>
            <wp:positionH relativeFrom="column">
              <wp:posOffset>4386</wp:posOffset>
            </wp:positionH>
            <wp:positionV relativeFrom="paragraph">
              <wp:posOffset>-209727</wp:posOffset>
            </wp:positionV>
            <wp:extent cx="1073888" cy="1031358"/>
            <wp:effectExtent l="0" t="0" r="0" b="0"/>
            <wp:wrapNone/>
            <wp:docPr id="1" name="Рисунок 1" descr="Рисунок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1 -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6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rPr>
          <w:sz w:val="36"/>
          <w:szCs w:val="36"/>
          <w:lang w:val="kk-KZ"/>
        </w:rPr>
      </w:pP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rPr>
          <w:sz w:val="36"/>
          <w:szCs w:val="36"/>
          <w:lang w:val="kk-KZ"/>
        </w:rPr>
      </w:pPr>
    </w:p>
    <w:p w:rsidR="00F918B9" w:rsidRPr="007D6FC7" w:rsidRDefault="00F918B9" w:rsidP="00F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7D6FC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«БІЛІМДЕГІ ИННОВАЦИЯЛАР: ІЗДЕНІС </w:t>
      </w:r>
      <w:r w:rsidR="003C0A7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ЖӘНЕ</w:t>
      </w:r>
      <w:r w:rsidRPr="007D6FC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ШЕШІМ</w:t>
      </w:r>
      <w:r w:rsidR="003C0A7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ДЕР</w:t>
      </w:r>
      <w:r w:rsidRPr="007D6FC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»</w:t>
      </w:r>
      <w:r w:rsidR="003C0A7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атты</w:t>
      </w:r>
    </w:p>
    <w:p w:rsidR="00F918B9" w:rsidRPr="007D6FC7" w:rsidRDefault="00F918B9" w:rsidP="00F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7D6FC7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Pr="007D6FC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І ХАЛЫҚАРАЛЫҚ ҒЫЛЫМИ-ПРАКТИКАЛЫҚ КОНФЕРЕНЦИЯ</w:t>
      </w:r>
    </w:p>
    <w:p w:rsidR="00F918B9" w:rsidRPr="007D6FC7" w:rsidRDefault="00F918B9" w:rsidP="00F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F918B9" w:rsidRPr="007D6FC7" w:rsidRDefault="00F918B9" w:rsidP="00F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7D6FC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АҚПАРАТТЫҚ ХАТ </w:t>
      </w:r>
    </w:p>
    <w:p w:rsidR="00F918B9" w:rsidRPr="007D6FC7" w:rsidRDefault="00F918B9" w:rsidP="00F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F918B9" w:rsidRPr="007D6FC7" w:rsidRDefault="00F918B9" w:rsidP="00F9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7D6FC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Құрметті әріптестер!</w:t>
      </w: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6FC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министрлігі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Ы. Алтынсарин атындағы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лттық білім академиясы 2019 жыл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11 қазан</w:t>
      </w:r>
      <w:r w:rsidR="003C0A7A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Нұр-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ұлтан қаласында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Білім берудегі инновациялар: ізденіс және шешім</w:t>
      </w:r>
      <w:r w:rsidR="003C0A7A">
        <w:rPr>
          <w:rFonts w:ascii="Times New Roman" w:hAnsi="Times New Roman" w:cs="Times New Roman"/>
          <w:sz w:val="24"/>
          <w:szCs w:val="24"/>
          <w:lang w:val="kk-KZ"/>
        </w:rPr>
        <w:t>дер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» атты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VІ Халықаралық ғылыми-практикалық конференция өткізеді.</w:t>
      </w:r>
    </w:p>
    <w:p w:rsidR="00F918B9" w:rsidRPr="003C0A7A" w:rsidRDefault="001026B3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Конференцияға қ</w:t>
      </w:r>
      <w:r w:rsidR="00F918B9" w:rsidRPr="008D411F">
        <w:rPr>
          <w:rFonts w:ascii="Times New Roman" w:hAnsi="Times New Roman" w:cs="Times New Roman"/>
          <w:b/>
          <w:sz w:val="24"/>
          <w:szCs w:val="24"/>
          <w:lang w:val="kk-KZ"/>
        </w:rPr>
        <w:t>атысуға:</w:t>
      </w:r>
      <w:r w:rsidR="00F918B9"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тәжірибе</w:t>
      </w:r>
      <w:r w:rsidR="003C0A7A">
        <w:rPr>
          <w:rFonts w:ascii="Times New Roman" w:hAnsi="Times New Roman" w:cs="Times New Roman"/>
          <w:sz w:val="24"/>
          <w:szCs w:val="24"/>
          <w:lang w:val="kk-KZ"/>
        </w:rPr>
        <w:t>лі</w:t>
      </w:r>
      <w:r w:rsidR="00F918B9"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мұғалімдер, сынып жетекшілер</w:t>
      </w:r>
      <w:r w:rsidR="003C0A7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F918B9" w:rsidRPr="00F918B9">
        <w:rPr>
          <w:rFonts w:ascii="Times New Roman" w:hAnsi="Times New Roman" w:cs="Times New Roman"/>
          <w:sz w:val="24"/>
          <w:szCs w:val="24"/>
          <w:lang w:val="kk-KZ"/>
        </w:rPr>
        <w:t>, әдіскерлер, тәрбиешілер, әлеуметтік педагогт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F918B9" w:rsidRPr="00F918B9">
        <w:rPr>
          <w:rFonts w:ascii="Times New Roman" w:hAnsi="Times New Roman" w:cs="Times New Roman"/>
          <w:sz w:val="24"/>
          <w:szCs w:val="24"/>
          <w:lang w:val="kk-KZ"/>
        </w:rPr>
        <w:t>р, жоғары оқу орындары мен колледждердің оқытушылары, кітапханашылар, білім беру ұйымдарының басшылары, облыстық/қалалық және аудандық білім басқармаларының басшылары мен қызметкерлері, ғалымдар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18B9"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 зерттеушілер, жаңа әдістемелер мен бағдарламалардың авторлары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918B9"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әзірлеушілері, білім беру ұйымдарына ғылыми-әдістемелік қолдау көрсететін ҮЕҰ өкілдері, ғылыми-зерттеу ұйымдарының өкілдері, білім және ғылым саласындағы мемлекеттік органдардың өкілдері </w:t>
      </w:r>
      <w:r w:rsidR="00F918B9" w:rsidRPr="003C0A7A">
        <w:rPr>
          <w:rFonts w:ascii="Times New Roman" w:hAnsi="Times New Roman" w:cs="Times New Roman"/>
          <w:b/>
          <w:sz w:val="24"/>
          <w:szCs w:val="24"/>
          <w:lang w:val="kk-KZ"/>
        </w:rPr>
        <w:t>шақырылады.</w:t>
      </w: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411F"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 өткізудің мақсаты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424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кәсіби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жоғарылау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үшін педагогт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және практикалық қолдау көрсету, білім беру трендтері туралы педагогикалық қоғамдастықтың түсініктерін кеңейтуге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жаңартуға ықпал ету, білім берудің өзекті міндеттерін іске асыру жолдарын ізде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стіру,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талқылау жолдарын бастамашылық</w:t>
      </w:r>
      <w:r w:rsidR="007D4E6B">
        <w:rPr>
          <w:rFonts w:ascii="Times New Roman" w:hAnsi="Times New Roman" w:cs="Times New Roman"/>
          <w:sz w:val="24"/>
          <w:szCs w:val="24"/>
          <w:lang w:val="kk-KZ"/>
        </w:rPr>
        <w:t>қа алу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, білім берудің </w:t>
      </w:r>
      <w:r w:rsidR="0040424D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түрлі деңгейлерінің өкілдері арасында диалог ұйымдастыру.</w:t>
      </w: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18B9" w:rsidRP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18B9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жұмысының негізгі бағыттары</w:t>
      </w: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Талқылау мен </w:t>
      </w:r>
      <w:r w:rsidR="0040424D">
        <w:rPr>
          <w:rFonts w:ascii="Times New Roman" w:hAnsi="Times New Roman" w:cs="Times New Roman"/>
          <w:sz w:val="24"/>
          <w:szCs w:val="24"/>
          <w:lang w:val="kk-KZ"/>
        </w:rPr>
        <w:t>дисскусияға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арналған тақырыптар</w:t>
      </w:r>
    </w:p>
    <w:p w:rsidR="00F918B9" w:rsidRP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1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ЗАМАНАУИ </w:t>
      </w:r>
      <w:r w:rsidRPr="00F918B9">
        <w:rPr>
          <w:rFonts w:ascii="Times New Roman" w:hAnsi="Times New Roman" w:cs="Times New Roman"/>
          <w:b/>
          <w:sz w:val="24"/>
          <w:szCs w:val="24"/>
          <w:lang w:val="kk-KZ"/>
        </w:rPr>
        <w:t>БІЛІМ БЕРУ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424D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18B9">
        <w:rPr>
          <w:rFonts w:ascii="Times New Roman" w:hAnsi="Times New Roman" w:cs="Times New Roman"/>
          <w:b/>
          <w:sz w:val="24"/>
          <w:szCs w:val="24"/>
          <w:lang w:val="kk-KZ"/>
        </w:rPr>
        <w:t>ЕЛДІҢ БӘСЕКЕГЕ ҚАБІЛЕТТІЛІ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F91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НЕГІЗІ</w:t>
      </w:r>
    </w:p>
    <w:p w:rsidR="00F918B9" w:rsidRP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18B9">
        <w:rPr>
          <w:rFonts w:ascii="Times New Roman" w:hAnsi="Times New Roman" w:cs="Times New Roman"/>
          <w:sz w:val="24"/>
          <w:szCs w:val="24"/>
          <w:lang w:val="kk-KZ"/>
        </w:rPr>
        <w:t>Қоғамды жаңғырту жағдайында заманауи мектепті дамыту. Мектепті басқарудың заманауи аспектілері. Ауыл және қала мектептер</w:t>
      </w:r>
      <w:r w:rsidR="0040424D">
        <w:rPr>
          <w:rFonts w:ascii="Times New Roman" w:hAnsi="Times New Roman" w:cs="Times New Roman"/>
          <w:sz w:val="24"/>
          <w:szCs w:val="24"/>
          <w:lang w:val="kk-KZ"/>
        </w:rPr>
        <w:t xml:space="preserve">індегі 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="0040424D"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сапасы. </w:t>
      </w:r>
    </w:p>
    <w:p w:rsidR="00F918B9" w:rsidRP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ұйымдарындағы тәрбие </w:t>
      </w:r>
      <w:r w:rsidR="007D4E6B">
        <w:rPr>
          <w:rFonts w:ascii="Times New Roman" w:hAnsi="Times New Roman" w:cs="Times New Roman"/>
          <w:sz w:val="24"/>
          <w:szCs w:val="24"/>
          <w:lang w:val="kk-KZ"/>
        </w:rPr>
        <w:t>процесінің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 өзекті мәселелері.</w:t>
      </w:r>
    </w:p>
    <w:p w:rsidR="00F918B9" w:rsidRDefault="00F918B9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18B9">
        <w:rPr>
          <w:rFonts w:ascii="Times New Roman" w:hAnsi="Times New Roman" w:cs="Times New Roman"/>
          <w:sz w:val="24"/>
          <w:szCs w:val="24"/>
          <w:lang w:val="kk-KZ"/>
        </w:rPr>
        <w:t xml:space="preserve">Қауіпсіз білім беру ортасын қалыптастыру. Білім берудегі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918B9">
        <w:rPr>
          <w:rFonts w:ascii="Times New Roman" w:hAnsi="Times New Roman" w:cs="Times New Roman"/>
          <w:sz w:val="24"/>
          <w:szCs w:val="24"/>
          <w:lang w:val="kk-KZ"/>
        </w:rPr>
        <w:t>нклюзия.</w:t>
      </w:r>
    </w:p>
    <w:p w:rsidR="008D411F" w:rsidRDefault="008D411F" w:rsidP="00F91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411F" w:rsidRPr="008D411F" w:rsidRDefault="008D411F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11F">
        <w:rPr>
          <w:rFonts w:ascii="Times New Roman" w:hAnsi="Times New Roman" w:cs="Times New Roman"/>
          <w:b/>
          <w:sz w:val="24"/>
          <w:szCs w:val="24"/>
          <w:lang w:val="kk-KZ"/>
        </w:rPr>
        <w:t>2. БІЛІМ БЕРУ ҰЙЫМДАРЫНЫҢ ИННОВАЦИЯЛЫҚ ӘЛЕУЕТІН ДАМЫТУ</w:t>
      </w:r>
    </w:p>
    <w:p w:rsidR="008D411F" w:rsidRPr="008D411F" w:rsidRDefault="008D411F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411F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ұйымының инновациялық қызметі: мәселелері </w:t>
      </w:r>
      <w:r w:rsidR="0040424D">
        <w:rPr>
          <w:rFonts w:ascii="Times New Roman" w:hAnsi="Times New Roman" w:cs="Times New Roman"/>
          <w:sz w:val="24"/>
          <w:szCs w:val="24"/>
          <w:lang w:val="kk-KZ"/>
        </w:rPr>
        <w:t>және перспективалары</w:t>
      </w:r>
      <w:r w:rsidR="008F7C6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D41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411F" w:rsidRDefault="008D411F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411F">
        <w:rPr>
          <w:rFonts w:ascii="Times New Roman" w:hAnsi="Times New Roman" w:cs="Times New Roman"/>
          <w:sz w:val="24"/>
          <w:szCs w:val="24"/>
          <w:lang w:val="kk-KZ"/>
        </w:rPr>
        <w:t xml:space="preserve">Инновацияларды енгізу. Инновациялық </w:t>
      </w:r>
      <w:r w:rsidR="007D4E6B">
        <w:rPr>
          <w:rFonts w:ascii="Times New Roman" w:hAnsi="Times New Roman" w:cs="Times New Roman"/>
          <w:sz w:val="24"/>
          <w:szCs w:val="24"/>
          <w:lang w:val="kk-KZ"/>
        </w:rPr>
        <w:t>процестерді</w:t>
      </w:r>
      <w:r w:rsidRPr="008D411F">
        <w:rPr>
          <w:rFonts w:ascii="Times New Roman" w:hAnsi="Times New Roman" w:cs="Times New Roman"/>
          <w:sz w:val="24"/>
          <w:szCs w:val="24"/>
          <w:lang w:val="kk-KZ"/>
        </w:rPr>
        <w:t xml:space="preserve"> дамыту. Педагогт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D411F">
        <w:rPr>
          <w:rFonts w:ascii="Times New Roman" w:hAnsi="Times New Roman" w:cs="Times New Roman"/>
          <w:sz w:val="24"/>
          <w:szCs w:val="24"/>
          <w:lang w:val="kk-KZ"/>
        </w:rPr>
        <w:t>рд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D411F">
        <w:rPr>
          <w:rFonts w:ascii="Times New Roman" w:hAnsi="Times New Roman" w:cs="Times New Roman"/>
          <w:sz w:val="24"/>
          <w:szCs w:val="24"/>
          <w:lang w:val="kk-KZ"/>
        </w:rPr>
        <w:t>ң инновациялық қызметке дайындығы.</w:t>
      </w:r>
    </w:p>
    <w:p w:rsidR="008D411F" w:rsidRDefault="008D411F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411F" w:rsidRPr="008D411F" w:rsidRDefault="008D411F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11F">
        <w:rPr>
          <w:rFonts w:ascii="Times New Roman" w:hAnsi="Times New Roman" w:cs="Times New Roman"/>
          <w:b/>
          <w:sz w:val="24"/>
          <w:szCs w:val="24"/>
          <w:lang w:val="kk-KZ"/>
        </w:rPr>
        <w:t>3. БІЛІМ БЕРУ МАЗМҰНЫ.  ЖАҺАНДЫҚ СЫН-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>ТЕГЕУРІНДЕР</w:t>
      </w:r>
      <w:r w:rsidRPr="008D41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D411F" w:rsidRDefault="008D411F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411F">
        <w:rPr>
          <w:rFonts w:ascii="Times New Roman" w:hAnsi="Times New Roman" w:cs="Times New Roman"/>
          <w:sz w:val="24"/>
          <w:szCs w:val="24"/>
          <w:lang w:val="kk-KZ"/>
        </w:rPr>
        <w:t>Білім беру мазмұнын жаңарту: тәжірибе және перспективалар. Мұғалім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1026B3" w:rsidRPr="008D411F">
        <w:rPr>
          <w:rFonts w:ascii="Times New Roman" w:hAnsi="Times New Roman" w:cs="Times New Roman"/>
          <w:sz w:val="24"/>
          <w:szCs w:val="24"/>
          <w:lang w:val="kk-KZ"/>
        </w:rPr>
        <w:t xml:space="preserve">жаңартылған білім беру мазмұнын </w:t>
      </w:r>
      <w:r w:rsidRPr="008D411F">
        <w:rPr>
          <w:rFonts w:ascii="Times New Roman" w:hAnsi="Times New Roman" w:cs="Times New Roman"/>
          <w:sz w:val="24"/>
          <w:szCs w:val="24"/>
          <w:lang w:val="kk-KZ"/>
        </w:rPr>
        <w:t>табысты енгізудің кепілі. Білім берудің барлық деңгейлерінің мазмұнын синхрондау. Көптілді білім беруді дамыту. Оқу жетістіктерін бағалау жүйесі.</w:t>
      </w:r>
    </w:p>
    <w:p w:rsidR="00530949" w:rsidRDefault="00530949" w:rsidP="008D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0949" w:rsidRPr="00530949" w:rsidRDefault="00530949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>ЗАМАНАУИ</w:t>
      </w:r>
      <w:r w:rsidRPr="00530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 w:rsidRPr="00530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ҒЫЛЫМ </w:t>
      </w:r>
    </w:p>
    <w:p w:rsidR="00530949" w:rsidRPr="00530949" w:rsidRDefault="00530949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949">
        <w:rPr>
          <w:rFonts w:ascii="Times New Roman" w:hAnsi="Times New Roman" w:cs="Times New Roman"/>
          <w:sz w:val="24"/>
          <w:szCs w:val="24"/>
          <w:lang w:val="kk-KZ"/>
        </w:rPr>
        <w:t xml:space="preserve">Ғылым үрдістері мен трендтері. Қазіргі педагогикалық ғылымның инновациялық әлеуеті. Білім және ғылым. Ғылыми зерттеулердің нәтижелерін практикаға енгізу. </w:t>
      </w:r>
    </w:p>
    <w:p w:rsidR="00530949" w:rsidRDefault="00530949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949">
        <w:rPr>
          <w:rFonts w:ascii="Times New Roman" w:hAnsi="Times New Roman" w:cs="Times New Roman"/>
          <w:sz w:val="24"/>
          <w:szCs w:val="24"/>
          <w:lang w:val="kk-KZ"/>
        </w:rPr>
        <w:lastRenderedPageBreak/>
        <w:t>Білім алушылар зерттеу жұмысының әдіс</w:t>
      </w:r>
      <w:r w:rsidR="008F7C6A">
        <w:rPr>
          <w:rFonts w:ascii="Times New Roman" w:hAnsi="Times New Roman" w:cs="Times New Roman"/>
          <w:sz w:val="24"/>
          <w:szCs w:val="24"/>
          <w:lang w:val="kk-KZ"/>
        </w:rPr>
        <w:t xml:space="preserve">намасы </w:t>
      </w:r>
      <w:r w:rsidRPr="00530949">
        <w:rPr>
          <w:rFonts w:ascii="Times New Roman" w:hAnsi="Times New Roman" w:cs="Times New Roman"/>
          <w:sz w:val="24"/>
          <w:szCs w:val="24"/>
          <w:lang w:val="kk-KZ"/>
        </w:rPr>
        <w:t>мен практикасы. Жас ғалымдар корпусын қалыптастыру.</w:t>
      </w:r>
    </w:p>
    <w:p w:rsidR="004C1B49" w:rsidRDefault="004C1B49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1B49" w:rsidRDefault="004C1B49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1B49"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 өткізу тіл</w:t>
      </w:r>
      <w:r w:rsidR="001026B3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4C1B49">
        <w:rPr>
          <w:rFonts w:ascii="Times New Roman" w:hAnsi="Times New Roman" w:cs="Times New Roman"/>
          <w:sz w:val="24"/>
          <w:szCs w:val="24"/>
          <w:lang w:val="kk-KZ"/>
        </w:rPr>
        <w:t>қазақ, орыс, ағылшын.</w:t>
      </w:r>
    </w:p>
    <w:p w:rsidR="009510B9" w:rsidRDefault="009510B9" w:rsidP="00A90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10B9" w:rsidRPr="009510B9" w:rsidRDefault="009510B9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0B9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регламенті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9510B9" w:rsidRPr="009510B9" w:rsidTr="001026B3">
        <w:tc>
          <w:tcPr>
            <w:tcW w:w="4219" w:type="dxa"/>
          </w:tcPr>
          <w:p w:rsidR="009510B9" w:rsidRPr="009510B9" w:rsidRDefault="009510B9" w:rsidP="009510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жылғы 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қазан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510B9" w:rsidRPr="009510B9" w:rsidRDefault="009510B9" w:rsidP="009510B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End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қатысушылардың</w:t>
            </w:r>
            <w:proofErr w:type="spellEnd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</w:p>
        </w:tc>
      </w:tr>
      <w:tr w:rsidR="009510B9" w:rsidRPr="009510B9" w:rsidTr="001026B3">
        <w:tc>
          <w:tcPr>
            <w:tcW w:w="4219" w:type="dxa"/>
          </w:tcPr>
          <w:p w:rsidR="009510B9" w:rsidRPr="009510B9" w:rsidRDefault="009510B9" w:rsidP="009510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жылғы 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қазан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(09.30–12.30) </w:t>
            </w:r>
          </w:p>
        </w:tc>
        <w:tc>
          <w:tcPr>
            <w:tcW w:w="5812" w:type="dxa"/>
          </w:tcPr>
          <w:p w:rsidR="009510B9" w:rsidRPr="009510B9" w:rsidRDefault="009510B9" w:rsidP="009510B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Пленар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отырыс</w:t>
            </w:r>
            <w:r w:rsidRPr="009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B9" w:rsidRPr="009510B9" w:rsidTr="001026B3">
        <w:tc>
          <w:tcPr>
            <w:tcW w:w="4219" w:type="dxa"/>
          </w:tcPr>
          <w:p w:rsidR="009510B9" w:rsidRPr="009510B9" w:rsidRDefault="009510B9" w:rsidP="009510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жылғы 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қазан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(14.00–18.00) </w:t>
            </w:r>
          </w:p>
        </w:tc>
        <w:tc>
          <w:tcPr>
            <w:tcW w:w="5812" w:type="dxa"/>
          </w:tcPr>
          <w:p w:rsidR="009510B9" w:rsidRPr="009510B9" w:rsidRDefault="009510B9" w:rsidP="009510B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Секциялар</w:t>
            </w:r>
            <w:proofErr w:type="spellEnd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жұмысы</w:t>
            </w:r>
            <w:proofErr w:type="spellEnd"/>
            <w:proofErr w:type="gram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</w:t>
            </w:r>
            <w:proofErr w:type="gram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End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рар</w:t>
            </w:r>
            <w:proofErr w:type="spellEnd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қабылдау</w:t>
            </w:r>
            <w:proofErr w:type="spellEnd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Сертификаттарды</w:t>
            </w:r>
            <w:proofErr w:type="spellEnd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тапсыру</w:t>
            </w:r>
            <w:proofErr w:type="spellEnd"/>
          </w:p>
        </w:tc>
      </w:tr>
      <w:tr w:rsidR="009510B9" w:rsidRPr="00EF1E06" w:rsidTr="001026B3">
        <w:tc>
          <w:tcPr>
            <w:tcW w:w="4219" w:type="dxa"/>
          </w:tcPr>
          <w:p w:rsidR="009510B9" w:rsidRPr="009510B9" w:rsidRDefault="009510B9" w:rsidP="009510B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жылғы </w:t>
            </w:r>
            <w:r w:rsidRPr="00951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қазан</w:t>
            </w:r>
          </w:p>
        </w:tc>
        <w:tc>
          <w:tcPr>
            <w:tcW w:w="5812" w:type="dxa"/>
          </w:tcPr>
          <w:p w:rsidR="00EF1E06" w:rsidRPr="001026B3" w:rsidRDefault="009510B9" w:rsidP="003C0396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End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>қатысушылардың</w:t>
            </w:r>
            <w:proofErr w:type="spellEnd"/>
            <w:r w:rsidRPr="009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тарауы</w:t>
            </w:r>
          </w:p>
        </w:tc>
      </w:tr>
    </w:tbl>
    <w:p w:rsidR="00EF1E06" w:rsidRDefault="00EF1E06" w:rsidP="0053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9510B9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EF1E06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Қатысу түрі және ұйымдастыру жарнасы</w:t>
      </w:r>
    </w:p>
    <w:p w:rsidR="00C810CA" w:rsidRDefault="00C810CA" w:rsidP="00EF1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EF1E06" w:rsidRP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1E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Келіп қатысу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 xml:space="preserve"> – пленарлық отырыс, дөңгелек үстелдерде баяндама жасау, материалдар жинағында мақала жариялау (</w:t>
      </w:r>
      <w:r w:rsidR="003C0396" w:rsidRPr="00EF1E06">
        <w:rPr>
          <w:rFonts w:ascii="Times New Roman" w:hAnsi="Times New Roman" w:cs="Times New Roman"/>
          <w:sz w:val="24"/>
          <w:szCs w:val="24"/>
          <w:lang w:val="kk-KZ"/>
        </w:rPr>
        <w:t>№ 1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>кейс – қатысушы сертификаты, бағдарлама, үлестірмелі материал, конференция материалдарының жинағы электронды түрде) – ұйымдастыру жарнасы 7000,00 теңгені (немесе теңге бағамы бойынша шетел валютасында)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26B3" w:rsidRPr="00EF1E06">
        <w:rPr>
          <w:rFonts w:ascii="Times New Roman" w:hAnsi="Times New Roman" w:cs="Times New Roman"/>
          <w:sz w:val="24"/>
          <w:szCs w:val="24"/>
          <w:lang w:val="kk-KZ"/>
        </w:rPr>
        <w:t>құрайды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1E06" w:rsidRP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1E0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ab/>
        <w:t>Қашықтан – материалдар жинағында мақала жариялау (</w:t>
      </w:r>
      <w:r w:rsidR="003C0396" w:rsidRPr="00EF1E06">
        <w:rPr>
          <w:rFonts w:ascii="Times New Roman" w:hAnsi="Times New Roman" w:cs="Times New Roman"/>
          <w:sz w:val="24"/>
          <w:szCs w:val="24"/>
          <w:lang w:val="kk-KZ"/>
        </w:rPr>
        <w:t>№2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 xml:space="preserve">кейс – қатысушы сертификаты, </w:t>
      </w:r>
      <w:r w:rsidR="003C0396" w:rsidRPr="00EF1E06">
        <w:rPr>
          <w:rFonts w:ascii="Times New Roman" w:hAnsi="Times New Roman" w:cs="Times New Roman"/>
          <w:sz w:val="24"/>
          <w:szCs w:val="24"/>
          <w:lang w:val="kk-KZ"/>
        </w:rPr>
        <w:t>электронды түрде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3C0396" w:rsidRPr="00EF1E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материалдарының жинағы), ұйымдастыру жарнасы – 5000,00 теңге (немесе теңге бағамы бойынша шетел валютасында).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1E0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F1E06">
        <w:rPr>
          <w:rFonts w:ascii="Times New Roman" w:hAnsi="Times New Roman" w:cs="Times New Roman"/>
          <w:sz w:val="24"/>
          <w:szCs w:val="24"/>
          <w:lang w:val="kk-KZ"/>
        </w:rPr>
        <w:tab/>
        <w:t xml:space="preserve">Ұйымдастыру жарнасын </w:t>
      </w:r>
      <w:r w:rsidR="00A90507">
        <w:rPr>
          <w:rFonts w:ascii="Times New Roman" w:hAnsi="Times New Roman" w:cs="Times New Roman"/>
          <w:sz w:val="24"/>
          <w:szCs w:val="24"/>
          <w:lang w:val="kk-KZ"/>
        </w:rPr>
        <w:t>төлемей тыңдаушы ретінде қатысу.</w:t>
      </w:r>
    </w:p>
    <w:p w:rsid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1E06">
        <w:rPr>
          <w:rFonts w:ascii="Times New Roman" w:hAnsi="Times New Roman" w:cs="Times New Roman"/>
          <w:b/>
          <w:sz w:val="24"/>
          <w:szCs w:val="24"/>
          <w:lang w:val="kk-KZ"/>
        </w:rPr>
        <w:t>Материалдарды ресімдеуге қойылатын талаптар</w:t>
      </w:r>
    </w:p>
    <w:p w:rsidR="00DF0A41" w:rsidRDefault="00DF0A41" w:rsidP="00EF1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1E06" w:rsidRDefault="00EF1E06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Материалдар электронды түрде ұсынылады: мәтіндік редактор MS WORD; формат А4, негізгі шрифт – Times New Roman; кегль – 14, жоларалық интервал – бір; мәтін ені бойынша тегістеу; абзац шегінісі – 1,0 см; барлық жиектер – 2 см.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беттер нөмірленбейді.</w:t>
      </w:r>
    </w:p>
    <w:p w:rsidR="00DF0A41" w:rsidRDefault="00DF0A41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Жоғарғы жағынан – баяндаманың атауы көшірусіз, жартылай қалың бас әріптермен; әрі қарай бір жолдан кейін, ортасында – автордың аты-жөні мен тегі (бір баяндамаға немесе 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 xml:space="preserve">мақалаға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үш авторд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ан артық қатысу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құпталмайды), бір жолдан кейін – ұйым, қала, автор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(лар)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дың е-mail, бір жолдан кейін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қазақ, орыс және ағылшын тілдерінде (150 сөзден артық емес) </w:t>
      </w:r>
      <w:r w:rsidR="001026B3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аннотация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және түйін сөздер (7 сөзден артық емес), әрі қарай бір жолдан кейін – мақала мәтіні. Әдебиетке сілтемелер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тік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жақшада ресімделеді. Әдебиеттер тізімінің болуы міндетті. Тасымалдау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ға болмайды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(1-қосымша).</w:t>
      </w:r>
    </w:p>
    <w:p w:rsidR="00DF0A41" w:rsidRDefault="00DF0A41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Суреттердің көлемі мақаланың 1/4 көлемінен аспауы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рбір сурет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е мәтінде сілтеме болуы,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суреттердің нөмірленуі</w:t>
      </w:r>
      <w:r w:rsidR="001026B3">
        <w:rPr>
          <w:rFonts w:ascii="Times New Roman" w:hAnsi="Times New Roman" w:cs="Times New Roman"/>
          <w:sz w:val="24"/>
          <w:szCs w:val="24"/>
          <w:lang w:val="kk-KZ"/>
        </w:rPr>
        <w:t xml:space="preserve"> рет бойынша,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суреттерге қойылған 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жазбалар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жеткілікті толық ақпаратты қамтуы тиіс.</w:t>
      </w:r>
    </w:p>
    <w:p w:rsidR="00DF0A41" w:rsidRDefault="00DF0A41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Материалдар барлық талаптарды сақтай отырып мұқият редакциялануы тиіс. Ресімдеу талаптарына сәйкес келмейтін және ұйымдастыру комитетіне белгіленген (</w:t>
      </w:r>
      <w:r w:rsidRPr="003C0396">
        <w:rPr>
          <w:rFonts w:ascii="Times New Roman" w:hAnsi="Times New Roman" w:cs="Times New Roman"/>
          <w:sz w:val="24"/>
          <w:szCs w:val="24"/>
          <w:u w:val="single"/>
          <w:lang w:val="kk-KZ"/>
        </w:rPr>
        <w:t>2019 жыл</w:t>
      </w:r>
      <w:r w:rsidR="00ED3032" w:rsidRPr="003C0396">
        <w:rPr>
          <w:rFonts w:ascii="Times New Roman" w:hAnsi="Times New Roman" w:cs="Times New Roman"/>
          <w:sz w:val="24"/>
          <w:szCs w:val="24"/>
          <w:u w:val="single"/>
          <w:lang w:val="kk-KZ"/>
        </w:rPr>
        <w:t>ғы</w:t>
      </w:r>
      <w:r w:rsidRPr="003C039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1 қазан</w:t>
      </w:r>
      <w:r w:rsidR="00ED3032" w:rsidRPr="003C0396">
        <w:rPr>
          <w:rFonts w:ascii="Times New Roman" w:hAnsi="Times New Roman" w:cs="Times New Roman"/>
          <w:sz w:val="24"/>
          <w:szCs w:val="24"/>
          <w:u w:val="single"/>
          <w:lang w:val="kk-KZ"/>
        </w:rPr>
        <w:t>ға</w:t>
      </w:r>
      <w:r w:rsidRPr="003C039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дейін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ED3032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мерзімнен кеш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ұсынылған мақалалар конференция материалдарының жинағына енгізілмейді және авторларға қайтарылмайды.</w:t>
      </w:r>
    </w:p>
    <w:p w:rsidR="00DF0A41" w:rsidRDefault="00DF0A41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Материалдар авторлық редакцияда жариялан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ады,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автор ұсынылған материал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үшін 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 xml:space="preserve">өзі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жауап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ты.</w:t>
      </w:r>
    </w:p>
    <w:p w:rsidR="00DF0A41" w:rsidRDefault="00DF0A41" w:rsidP="00EF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сайтында тіркелу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Конференцияға қатысу үшін 2019 жыл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23 қыркүйе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кке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дейін www.nao.kz (https://nao.kz/naoconference/registration/9</w:t>
      </w:r>
      <w:r w:rsidR="003C0396" w:rsidRPr="003C03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0396" w:rsidRPr="00DF0A41">
        <w:rPr>
          <w:rFonts w:ascii="Times New Roman" w:hAnsi="Times New Roman" w:cs="Times New Roman"/>
          <w:sz w:val="24"/>
          <w:szCs w:val="24"/>
          <w:lang w:val="kk-KZ"/>
        </w:rPr>
        <w:t>сілтеме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="003C0396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D3032" w:rsidRPr="00DF0A41">
        <w:rPr>
          <w:rFonts w:ascii="Times New Roman" w:hAnsi="Times New Roman" w:cs="Times New Roman"/>
          <w:sz w:val="24"/>
          <w:szCs w:val="24"/>
          <w:lang w:val="kk-KZ"/>
        </w:rPr>
        <w:t>айт</w:t>
      </w:r>
      <w:r w:rsidR="00BD59F5">
        <w:rPr>
          <w:rFonts w:ascii="Times New Roman" w:hAnsi="Times New Roman" w:cs="Times New Roman"/>
          <w:sz w:val="24"/>
          <w:szCs w:val="24"/>
          <w:lang w:val="kk-KZ"/>
        </w:rPr>
        <w:t>ында</w:t>
      </w:r>
      <w:r w:rsidR="00ED3032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тіркелу</w:t>
      </w:r>
      <w:r w:rsidR="003C0396" w:rsidRPr="003C03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0396" w:rsidRPr="00DF0A41">
        <w:rPr>
          <w:rFonts w:ascii="Times New Roman" w:hAnsi="Times New Roman" w:cs="Times New Roman"/>
          <w:sz w:val="24"/>
          <w:szCs w:val="24"/>
          <w:lang w:val="kk-KZ"/>
        </w:rPr>
        <w:t>қажет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Конференция сайтында 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ойдағыдай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тіркелгеннен кейін конференцияға қатысушы https://nao.kz/naoconference/registration/9 жеке кабинетке кіру үшін жеке пароль мен логин алады: 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- Жеке кабинетте мақала /баяндама мәтіні қоса беріледі;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- мақаланың / баяндаманың конференция бағдарламасына енгізілгені туралы </w:t>
      </w:r>
      <w:r w:rsidRPr="003C0396">
        <w:rPr>
          <w:rFonts w:ascii="Times New Roman" w:hAnsi="Times New Roman" w:cs="Times New Roman"/>
          <w:sz w:val="24"/>
          <w:szCs w:val="24"/>
          <w:u w:val="single"/>
          <w:lang w:val="kk-KZ"/>
        </w:rPr>
        <w:t>растауды алғаннан кейін ғана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қатысушының жеке кабинетінде </w:t>
      </w:r>
      <w:r w:rsidR="00ED3032">
        <w:rPr>
          <w:rFonts w:ascii="Times New Roman" w:hAnsi="Times New Roman" w:cs="Times New Roman"/>
          <w:sz w:val="24"/>
          <w:szCs w:val="24"/>
          <w:lang w:val="kk-KZ"/>
        </w:rPr>
        <w:t>келісімш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арттың сканерленген көшірмелері мен төлем туралы түбіртектер тіркеледі. Төлемді әрбір мақала/баяндама авторы жеке жүргізеді. Төлем</w:t>
      </w:r>
      <w:r w:rsidR="00A90507">
        <w:rPr>
          <w:rFonts w:ascii="Times New Roman" w:hAnsi="Times New Roman" w:cs="Times New Roman"/>
          <w:sz w:val="24"/>
          <w:szCs w:val="24"/>
          <w:lang w:val="kk-KZ"/>
        </w:rPr>
        <w:t xml:space="preserve"> үшін деректемелер 2-қосымшада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- төлем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 xml:space="preserve"> жасалғаннан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кейін әр қатысушы конференцияға шақыр</w:t>
      </w:r>
      <w:r w:rsidR="00BD59F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у алады; 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- сертификаттар (сырттай қатысу түрі) 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онференция сайтында </w:t>
      </w:r>
      <w:r w:rsidR="003C039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еке кабинетте орналастырылады.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Конференцияға қатысушылардың назарына!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sz w:val="24"/>
          <w:szCs w:val="24"/>
          <w:lang w:val="kk-KZ"/>
        </w:rPr>
        <w:t>Өт</w:t>
      </w:r>
      <w:r w:rsidR="004B03D3">
        <w:rPr>
          <w:rFonts w:ascii="Times New Roman" w:hAnsi="Times New Roman" w:cs="Times New Roman"/>
          <w:b/>
          <w:sz w:val="24"/>
          <w:szCs w:val="24"/>
          <w:lang w:val="kk-KZ"/>
        </w:rPr>
        <w:t>кізілетін</w:t>
      </w:r>
      <w:r w:rsidRPr="00DF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орны мен уақыты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: Нұр-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ұлтан қаласы, Мәңгілік Ел даңғылы, 8, 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Алтын Орда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Бизнес орталығы, конференц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 xml:space="preserve">ия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зал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B03D3" w:rsidRPr="00DF0A41">
        <w:rPr>
          <w:rFonts w:ascii="Times New Roman" w:hAnsi="Times New Roman" w:cs="Times New Roman"/>
          <w:sz w:val="24"/>
          <w:szCs w:val="24"/>
          <w:lang w:val="kk-KZ"/>
        </w:rPr>
        <w:t>2019 жыл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4B03D3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11 қазан. 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Анықтама үшін байланыс</w:t>
      </w:r>
      <w:r w:rsidR="004B03D3" w:rsidRPr="004B0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3D3" w:rsidRPr="00DF0A41">
        <w:rPr>
          <w:rFonts w:ascii="Times New Roman" w:hAnsi="Times New Roman" w:cs="Times New Roman"/>
          <w:sz w:val="24"/>
          <w:szCs w:val="24"/>
          <w:lang w:val="kk-KZ"/>
        </w:rPr>
        <w:t>тел.: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3D3" w:rsidRPr="00DF0A41">
        <w:rPr>
          <w:rFonts w:ascii="Times New Roman" w:hAnsi="Times New Roman" w:cs="Times New Roman"/>
          <w:sz w:val="24"/>
          <w:szCs w:val="24"/>
          <w:lang w:val="kk-KZ"/>
        </w:rPr>
        <w:t>Ы. Алтынсарин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 xml:space="preserve"> атындағы</w:t>
      </w:r>
      <w:r w:rsidR="004B03D3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Ұлттық білім академиясы</w:t>
      </w:r>
    </w:p>
    <w:p w:rsidR="00DF0A41" w:rsidRDefault="00F40340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0340">
        <w:rPr>
          <w:rFonts w:ascii="Times New Roman" w:hAnsi="Times New Roman" w:cs="Times New Roman"/>
          <w:bCs/>
          <w:iCs/>
        </w:rPr>
        <w:t>8 (7172) 57-29-08</w:t>
      </w:r>
      <w:r w:rsidRPr="00F40340">
        <w:rPr>
          <w:rFonts w:ascii="Times New Roman" w:hAnsi="Times New Roman" w:cs="Times New Roman"/>
          <w:bCs/>
          <w:iCs/>
          <w:lang w:val="kk-KZ"/>
        </w:rPr>
        <w:t xml:space="preserve">, </w:t>
      </w:r>
      <w:r w:rsidRPr="00F40340">
        <w:rPr>
          <w:rFonts w:ascii="Times New Roman" w:hAnsi="Times New Roman" w:cs="Times New Roman"/>
          <w:bCs/>
          <w:iCs/>
        </w:rPr>
        <w:t>57-63-56;</w:t>
      </w:r>
      <w:r w:rsidRPr="00DE6E0B">
        <w:rPr>
          <w:bCs/>
          <w:iCs/>
        </w:rPr>
        <w:t xml:space="preserve">  </w:t>
      </w:r>
      <w:r w:rsidR="00DF0A41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Академия сайты </w:t>
      </w:r>
      <w:bookmarkStart w:id="0" w:name="_GoBack"/>
      <w:bookmarkEnd w:id="0"/>
      <w:r w:rsidR="00DF0A41"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– www.nao.kz 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Конференцияның Ұйымдастыру комитеті конференцияға қатысушыларды қарсы алу және орналастыру мәселелерімен айналыспайды. Қонақ үй</w:t>
      </w:r>
      <w:r w:rsidR="00803F2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і брондауды конференцияға қатысушылар өз</w:t>
      </w:r>
      <w:r w:rsidR="004B03D3">
        <w:rPr>
          <w:rFonts w:ascii="Times New Roman" w:hAnsi="Times New Roman" w:cs="Times New Roman"/>
          <w:sz w:val="24"/>
          <w:szCs w:val="24"/>
          <w:lang w:val="kk-KZ"/>
        </w:rPr>
        <w:t xml:space="preserve">дігінен </w:t>
      </w:r>
      <w:r w:rsidR="003C0A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жүргізеді.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sz w:val="24"/>
          <w:szCs w:val="24"/>
          <w:lang w:val="kk-KZ"/>
        </w:rPr>
        <w:t>1-ҚОСЫМША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DF0A41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Мақаланы р</w:t>
      </w:r>
      <w:r w:rsidR="00BD59F5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е</w:t>
      </w:r>
      <w:r w:rsidRPr="00DF0A41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сімдеу үлгісі</w:t>
      </w: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A41" w:rsidRP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sz w:val="24"/>
          <w:szCs w:val="24"/>
          <w:lang w:val="kk-KZ"/>
        </w:rPr>
        <w:t>БІЛІМ БЕРУ МЕН ТӘРБИЕЛЕУДЕГІ МӘДЕНИ МҰРАНЫҢ РӨЛІ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Pr="00DF0A41" w:rsidRDefault="00DF0A41" w:rsidP="00DF0A4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DF0A41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С. А. Кусаинов 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Абай атындағы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 xml:space="preserve">азақ ұлттық педагогикалық университеті. Алматы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instrText>s.kusainov@gmail.com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631666">
        <w:rPr>
          <w:rStyle w:val="a3"/>
          <w:rFonts w:ascii="Times New Roman" w:hAnsi="Times New Roman" w:cs="Times New Roman"/>
          <w:sz w:val="24"/>
          <w:szCs w:val="24"/>
          <w:lang w:val="kk-KZ"/>
        </w:rPr>
        <w:t>s.kusainov@gmail.com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Pr="00D1347E" w:rsidRDefault="00DF0A41" w:rsidP="00DF0A41">
      <w:pPr>
        <w:pStyle w:val="a4"/>
        <w:widowControl w:val="0"/>
        <w:ind w:firstLine="567"/>
        <w:jc w:val="both"/>
        <w:rPr>
          <w:lang w:val="kk-KZ"/>
        </w:rPr>
      </w:pPr>
      <w:r w:rsidRPr="00D1347E">
        <w:rPr>
          <w:b/>
          <w:color w:val="000000"/>
          <w:lang w:val="kk-KZ"/>
        </w:rPr>
        <w:t>А</w:t>
      </w:r>
      <w:r>
        <w:rPr>
          <w:b/>
          <w:color w:val="000000"/>
          <w:lang w:val="kk-KZ"/>
        </w:rPr>
        <w:t>ңдатпа</w:t>
      </w:r>
      <w:r w:rsidRPr="00D1347E">
        <w:rPr>
          <w:b/>
          <w:color w:val="000000"/>
          <w:lang w:val="kk-KZ"/>
        </w:rPr>
        <w:t xml:space="preserve">. </w:t>
      </w:r>
      <w:r w:rsidRPr="00D1347E">
        <w:rPr>
          <w:lang w:val="kk-KZ"/>
        </w:rPr>
        <w:t>Мақала саналы қоғам қалыптастырудағы мәдени мұраның маңыздылығына талдау жасауға, алдыңғы ұрпақтың және мәдениет естеліктерінің тәжірибесіне сүйене отырып,  дәстүрге деген ұқыптылыққа тәрбиелеуге арналған.</w:t>
      </w:r>
    </w:p>
    <w:p w:rsidR="00DF0A41" w:rsidRPr="00D1347E" w:rsidRDefault="00DF0A41" w:rsidP="00DF0A41">
      <w:pPr>
        <w:pStyle w:val="a4"/>
        <w:widowControl w:val="0"/>
        <w:ind w:firstLine="567"/>
        <w:jc w:val="both"/>
      </w:pPr>
      <w:r w:rsidRPr="00D1347E">
        <w:rPr>
          <w:b/>
          <w:color w:val="000000"/>
        </w:rPr>
        <w:t xml:space="preserve">Аннотация. </w:t>
      </w:r>
      <w:r w:rsidRPr="00D1347E">
        <w:t xml:space="preserve">Статья посвящена анализу значения культурного наследия для формирования здорового общества, бережно относящегося к традиции, опирающегося на опыт предшествующих поколений и культурную память. </w:t>
      </w:r>
    </w:p>
    <w:p w:rsidR="00DF0A41" w:rsidRPr="00D1347E" w:rsidRDefault="00DF0A41" w:rsidP="00DF0A41">
      <w:pPr>
        <w:pStyle w:val="a4"/>
        <w:widowControl w:val="0"/>
        <w:ind w:firstLine="567"/>
        <w:jc w:val="both"/>
        <w:rPr>
          <w:lang w:val="kk-KZ"/>
        </w:rPr>
      </w:pPr>
      <w:r w:rsidRPr="00D1347E">
        <w:rPr>
          <w:b/>
          <w:color w:val="000000"/>
          <w:lang w:val="en-US"/>
        </w:rPr>
        <w:t xml:space="preserve">Abstract. </w:t>
      </w:r>
      <w:r w:rsidRPr="00D1347E">
        <w:rPr>
          <w:lang w:val="en-US"/>
        </w:rPr>
        <w:t>The article is devoted to analysis of the value of cultural heritage for the formation of a healthy society, respect of tradition, based on the experience of previous generations and cultural memory.</w:t>
      </w:r>
      <w:r w:rsidRPr="00D1347E">
        <w:rPr>
          <w:lang w:val="kk-KZ"/>
        </w:rPr>
        <w:t xml:space="preserve"> 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Pr="00DF0A41" w:rsidRDefault="00DF0A41" w:rsidP="00DF0A41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Түйін сөздер: 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мәдени мұра, жалпы мәдениет, тұтынушы қоғам, тарихи ескерткіштер, мәдени ескерткіштер, мәдени мұраны таныту.</w:t>
      </w:r>
    </w:p>
    <w:p w:rsidR="00DF0A41" w:rsidRPr="00DF0A41" w:rsidRDefault="00DF0A41" w:rsidP="00DF0A41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F0A41">
        <w:rPr>
          <w:rFonts w:ascii="Times New Roman" w:hAnsi="Times New Roman" w:cs="Times New Roman"/>
          <w:sz w:val="24"/>
          <w:szCs w:val="24"/>
        </w:rPr>
        <w:t xml:space="preserve"> культурное наследие, массовая культура, общество потребления, памятники истории, памятник</w:t>
      </w:r>
      <w:r w:rsidRPr="00DF0A4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DF0A41">
        <w:rPr>
          <w:rFonts w:ascii="Times New Roman" w:hAnsi="Times New Roman" w:cs="Times New Roman"/>
          <w:sz w:val="24"/>
          <w:szCs w:val="24"/>
        </w:rPr>
        <w:t xml:space="preserve"> культуры, популяризация культурного наследия.</w:t>
      </w:r>
    </w:p>
    <w:p w:rsidR="00DF0A41" w:rsidRPr="00DF0A41" w:rsidRDefault="00DF0A41" w:rsidP="00DF0A41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0A41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DF0A41">
        <w:rPr>
          <w:rFonts w:ascii="Times New Roman" w:hAnsi="Times New Roman" w:cs="Times New Roman"/>
          <w:sz w:val="24"/>
          <w:szCs w:val="24"/>
          <w:lang w:val="en-US"/>
        </w:rPr>
        <w:t xml:space="preserve"> cultural heritage, mass culture, consumer society, culture and history, the protection of cultural monuments, popularization of cultural heritage.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A41">
        <w:rPr>
          <w:rFonts w:ascii="Times New Roman" w:hAnsi="Times New Roman" w:cs="Times New Roman"/>
          <w:sz w:val="24"/>
          <w:szCs w:val="24"/>
          <w:lang w:val="kk-KZ"/>
        </w:rPr>
        <w:t>Мақала мәтіні. Мақала мәтіні [1]. ... Мақала мәтіні.</w:t>
      </w:r>
    </w:p>
    <w:p w:rsidR="00DF0A41" w:rsidRDefault="00DF0A41" w:rsidP="00DF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0507" w:rsidRDefault="00A90507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A41" w:rsidRDefault="00353A27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Пайдаланған әдебиеттер</w:t>
      </w:r>
    </w:p>
    <w:p w:rsidR="00353A27" w:rsidRDefault="00353A27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27" w:rsidRPr="00D1347E" w:rsidRDefault="00353A27" w:rsidP="00353A27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</w:rPr>
      </w:pPr>
      <w:proofErr w:type="spellStart"/>
      <w:proofErr w:type="gramStart"/>
      <w:r w:rsidRPr="00D1347E">
        <w:rPr>
          <w:rFonts w:ascii="Times New Roman" w:hAnsi="Times New Roman" w:cs="Times New Roman"/>
          <w:color w:val="221E1F"/>
        </w:rPr>
        <w:t>Ж</w:t>
      </w:r>
      <w:proofErr w:type="gramEnd"/>
      <w:r w:rsidRPr="00D1347E">
        <w:rPr>
          <w:rFonts w:ascii="Times New Roman" w:hAnsi="Times New Roman" w:cs="Times New Roman"/>
          <w:color w:val="221E1F"/>
        </w:rPr>
        <w:t>ұмабаев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 М. </w:t>
      </w:r>
      <w:proofErr w:type="spellStart"/>
      <w:r w:rsidRPr="00D1347E">
        <w:rPr>
          <w:rFonts w:ascii="Times New Roman" w:hAnsi="Times New Roman" w:cs="Times New Roman"/>
          <w:color w:val="221E1F"/>
        </w:rPr>
        <w:t>Таңдамалы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. - Алматы: </w:t>
      </w:r>
      <w:proofErr w:type="spellStart"/>
      <w:r w:rsidRPr="00D1347E">
        <w:rPr>
          <w:rFonts w:ascii="Times New Roman" w:hAnsi="Times New Roman" w:cs="Times New Roman"/>
          <w:color w:val="221E1F"/>
        </w:rPr>
        <w:t>Ана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D1347E">
        <w:rPr>
          <w:rFonts w:ascii="Times New Roman" w:hAnsi="Times New Roman" w:cs="Times New Roman"/>
          <w:color w:val="221E1F"/>
        </w:rPr>
        <w:t>т</w:t>
      </w:r>
      <w:proofErr w:type="gramStart"/>
      <w:r w:rsidRPr="00D1347E">
        <w:rPr>
          <w:rFonts w:ascii="Times New Roman" w:hAnsi="Times New Roman" w:cs="Times New Roman"/>
          <w:color w:val="221E1F"/>
        </w:rPr>
        <w:t>i</w:t>
      </w:r>
      <w:proofErr w:type="gramEnd"/>
      <w:r w:rsidRPr="00D1347E">
        <w:rPr>
          <w:rFonts w:ascii="Times New Roman" w:hAnsi="Times New Roman" w:cs="Times New Roman"/>
          <w:color w:val="221E1F"/>
        </w:rPr>
        <w:t>лi</w:t>
      </w:r>
      <w:proofErr w:type="spellEnd"/>
      <w:r w:rsidRPr="00D1347E">
        <w:rPr>
          <w:rFonts w:ascii="Times New Roman" w:hAnsi="Times New Roman" w:cs="Times New Roman"/>
          <w:color w:val="221E1F"/>
        </w:rPr>
        <w:t>, 1992. – 106 б.</w:t>
      </w:r>
    </w:p>
    <w:p w:rsidR="00353A27" w:rsidRPr="00D1347E" w:rsidRDefault="00353A27" w:rsidP="00353A27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</w:rPr>
      </w:pPr>
      <w:proofErr w:type="spellStart"/>
      <w:r w:rsidRPr="00D1347E">
        <w:rPr>
          <w:rFonts w:ascii="Times New Roman" w:hAnsi="Times New Roman" w:cs="Times New Roman"/>
          <w:color w:val="221E1F"/>
        </w:rPr>
        <w:t>Кожахметова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 К.Ж. Казахская </w:t>
      </w:r>
      <w:proofErr w:type="spellStart"/>
      <w:r w:rsidRPr="00D1347E">
        <w:rPr>
          <w:rFonts w:ascii="Times New Roman" w:hAnsi="Times New Roman" w:cs="Times New Roman"/>
          <w:color w:val="221E1F"/>
        </w:rPr>
        <w:t>этнопедагогика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: методология, теория, практика. - Алматы: </w:t>
      </w:r>
      <w:proofErr w:type="spellStart"/>
      <w:r w:rsidRPr="00D1347E">
        <w:rPr>
          <w:rFonts w:ascii="Times New Roman" w:hAnsi="Times New Roman" w:cs="Times New Roman"/>
          <w:color w:val="221E1F"/>
        </w:rPr>
        <w:t>Ғылым</w:t>
      </w:r>
      <w:proofErr w:type="spellEnd"/>
      <w:r w:rsidRPr="00D1347E">
        <w:rPr>
          <w:rFonts w:ascii="Times New Roman" w:hAnsi="Times New Roman" w:cs="Times New Roman"/>
          <w:color w:val="221E1F"/>
        </w:rPr>
        <w:t>, 1998. – 316 б.</w:t>
      </w:r>
    </w:p>
    <w:p w:rsidR="00353A27" w:rsidRPr="00D1347E" w:rsidRDefault="00353A27" w:rsidP="00353A27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</w:rPr>
      </w:pPr>
      <w:r w:rsidRPr="00D1347E">
        <w:rPr>
          <w:rFonts w:ascii="Times New Roman" w:hAnsi="Times New Roman" w:cs="Times New Roman"/>
          <w:iCs/>
          <w:color w:val="221E1F"/>
        </w:rPr>
        <w:t xml:space="preserve">Леонтьев А. А. </w:t>
      </w:r>
      <w:r w:rsidRPr="00D1347E">
        <w:rPr>
          <w:rFonts w:ascii="Times New Roman" w:hAnsi="Times New Roman" w:cs="Times New Roman"/>
          <w:color w:val="221E1F"/>
        </w:rPr>
        <w:t>Педагогика здравого смысла / А. А. Леонтьев // «Школа 2000….» Концепция и программы непрерывных курсов для общеобразовательной шко</w:t>
      </w:r>
      <w:r w:rsidRPr="00D1347E">
        <w:rPr>
          <w:rFonts w:ascii="Times New Roman" w:hAnsi="Times New Roman" w:cs="Times New Roman"/>
          <w:color w:val="221E1F"/>
        </w:rPr>
        <w:softHyphen/>
        <w:t xml:space="preserve">лы / под науч. ред. А. А. Леонтьева. – </w:t>
      </w:r>
      <w:proofErr w:type="spellStart"/>
      <w:r w:rsidRPr="00D1347E">
        <w:rPr>
          <w:rFonts w:ascii="Times New Roman" w:hAnsi="Times New Roman" w:cs="Times New Roman"/>
          <w:color w:val="221E1F"/>
        </w:rPr>
        <w:t>Вып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. 1. – М., 1998. – С. 9–23. </w:t>
      </w:r>
    </w:p>
    <w:p w:rsidR="00353A27" w:rsidRPr="00D1347E" w:rsidRDefault="00353A27" w:rsidP="00353A27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1E1F"/>
        </w:rPr>
      </w:pPr>
      <w:r w:rsidRPr="00D1347E">
        <w:rPr>
          <w:rFonts w:ascii="Times New Roman" w:hAnsi="Times New Roman" w:cs="Times New Roman"/>
          <w:iCs/>
          <w:color w:val="221E1F"/>
        </w:rPr>
        <w:t xml:space="preserve">Исигуро Х. </w:t>
      </w:r>
      <w:r w:rsidRPr="00D1347E">
        <w:rPr>
          <w:rFonts w:ascii="Times New Roman" w:hAnsi="Times New Roman" w:cs="Times New Roman"/>
          <w:color w:val="221E1F"/>
        </w:rPr>
        <w:t xml:space="preserve">О японском эгалитаризме // Культурные модели школ. – М.: ИПИ РАО, 1997. – </w:t>
      </w:r>
      <w:proofErr w:type="gramStart"/>
      <w:r w:rsidRPr="00D1347E">
        <w:rPr>
          <w:rFonts w:ascii="Times New Roman" w:hAnsi="Times New Roman" w:cs="Times New Roman"/>
          <w:color w:val="221E1F"/>
        </w:rPr>
        <w:t>(Новые ценности образования.</w:t>
      </w:r>
      <w:proofErr w:type="gramEnd"/>
      <w:r w:rsidRPr="00D1347E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D1347E">
        <w:rPr>
          <w:rFonts w:ascii="Times New Roman" w:hAnsi="Times New Roman" w:cs="Times New Roman"/>
          <w:color w:val="221E1F"/>
        </w:rPr>
        <w:t>Вып</w:t>
      </w:r>
      <w:proofErr w:type="spellEnd"/>
      <w:r w:rsidRPr="00D1347E">
        <w:rPr>
          <w:rFonts w:ascii="Times New Roman" w:hAnsi="Times New Roman" w:cs="Times New Roman"/>
          <w:color w:val="221E1F"/>
        </w:rPr>
        <w:t xml:space="preserve">. 7). – С. 165–176. </w:t>
      </w:r>
    </w:p>
    <w:p w:rsidR="00353A27" w:rsidRPr="00D2602D" w:rsidRDefault="00353A27" w:rsidP="00353A2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2D">
        <w:rPr>
          <w:rFonts w:ascii="Times New Roman" w:hAnsi="Times New Roman" w:cs="Times New Roman"/>
          <w:sz w:val="24"/>
          <w:szCs w:val="24"/>
          <w:lang w:val="en-US"/>
        </w:rPr>
        <w:t xml:space="preserve">Davies A., </w:t>
      </w:r>
      <w:proofErr w:type="spellStart"/>
      <w:r w:rsidRPr="00D2602D">
        <w:rPr>
          <w:rFonts w:ascii="Times New Roman" w:hAnsi="Times New Roman" w:cs="Times New Roman"/>
          <w:sz w:val="24"/>
          <w:szCs w:val="24"/>
          <w:lang w:val="en-US"/>
        </w:rPr>
        <w:t>Fidler</w:t>
      </w:r>
      <w:proofErr w:type="spellEnd"/>
      <w:r w:rsidRPr="00D2602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D2602D">
        <w:rPr>
          <w:rFonts w:ascii="Times New Roman" w:hAnsi="Times New Roman" w:cs="Times New Roman"/>
          <w:sz w:val="24"/>
          <w:szCs w:val="24"/>
          <w:lang w:val="en-US"/>
        </w:rPr>
        <w:t>Gorbis</w:t>
      </w:r>
      <w:proofErr w:type="spellEnd"/>
      <w:r w:rsidRPr="00D2602D">
        <w:rPr>
          <w:rFonts w:ascii="Times New Roman" w:hAnsi="Times New Roman" w:cs="Times New Roman"/>
          <w:sz w:val="24"/>
          <w:szCs w:val="24"/>
          <w:lang w:val="en-US"/>
        </w:rPr>
        <w:t xml:space="preserve"> M. Future Work Skills 2020. URL: http://www.iftf.org/uploads/media/ SR-1382A_UPRI_future_work_skills_sm.pdf</w:t>
      </w:r>
    </w:p>
    <w:p w:rsidR="00353A27" w:rsidRPr="00A04433" w:rsidRDefault="00353A27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433" w:rsidRPr="00C810CA" w:rsidRDefault="00A04433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433" w:rsidRPr="00C810CA" w:rsidRDefault="00A04433" w:rsidP="00A044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4433" w:rsidRPr="00C810CA" w:rsidRDefault="00A04433" w:rsidP="00A04433">
      <w:pPr>
        <w:widowControl w:val="0"/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0C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810CA" w:rsidRPr="00C810C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810CA" w:rsidRPr="000C3795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C810CA" w:rsidRPr="000C3795">
        <w:rPr>
          <w:rFonts w:ascii="Times New Roman" w:hAnsi="Times New Roman" w:cs="Times New Roman"/>
          <w:b/>
          <w:sz w:val="24"/>
          <w:szCs w:val="24"/>
        </w:rPr>
        <w:t>ОСЫМША</w:t>
      </w:r>
    </w:p>
    <w:p w:rsidR="00A04433" w:rsidRPr="00C810CA" w:rsidRDefault="00A04433" w:rsidP="00A04433">
      <w:pPr>
        <w:widowControl w:val="0"/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4433" w:rsidRPr="00A04433" w:rsidRDefault="00A04433" w:rsidP="00A04433">
      <w:pPr>
        <w:widowControl w:val="0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жарнасын төлеуге арналған банк деректемелері</w:t>
      </w:r>
    </w:p>
    <w:p w:rsidR="00A04433" w:rsidRPr="00A04433" w:rsidRDefault="00A04433" w:rsidP="00A04433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 xml:space="preserve">ҚР БҒМ </w:t>
      </w:r>
      <w:r>
        <w:rPr>
          <w:rFonts w:ascii="Times New Roman" w:hAnsi="Times New Roman" w:cs="Times New Roman"/>
          <w:sz w:val="24"/>
          <w:szCs w:val="24"/>
          <w:lang w:val="kk-KZ"/>
        </w:rPr>
        <w:t>«Ы.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Алтынсарин атындағы Ұлттық білім академиясы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 xml:space="preserve"> РМҚК 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 xml:space="preserve">Заңды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орналасқан жері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: 010000 Нұр-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, Достық көшесі, 20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>Нақты мекенжайы: 010000 Нұр-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, Мәңгілік Ел даңғылы, 8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>СТН 600900611860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 xml:space="preserve">ЖСК KZ826010111000202462 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>БСН 080940006848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>КБЕ 16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433">
        <w:rPr>
          <w:rFonts w:ascii="Times New Roman" w:hAnsi="Times New Roman" w:cs="Times New Roman"/>
          <w:sz w:val="24"/>
          <w:szCs w:val="24"/>
          <w:lang w:val="kk-KZ"/>
        </w:rPr>
        <w:t>БИК HSBKKZKX</w:t>
      </w:r>
    </w:p>
    <w:p w:rsidR="00A04433" w:rsidRP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>Қазақстан Халық Банкі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044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 </w:t>
      </w:r>
    </w:p>
    <w:p w:rsidR="00A04433" w:rsidRDefault="00A04433" w:rsidP="00C810C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4433" w:rsidRDefault="00A04433" w:rsidP="00A04433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4433" w:rsidRPr="00A04433" w:rsidRDefault="00A04433" w:rsidP="00A04433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4433" w:rsidRPr="00C810CA" w:rsidRDefault="00A04433" w:rsidP="00A04433">
      <w:pPr>
        <w:widowControl w:val="0"/>
        <w:tabs>
          <w:tab w:val="left" w:pos="851"/>
        </w:tabs>
        <w:ind w:firstLine="567"/>
        <w:jc w:val="center"/>
        <w:rPr>
          <w:rFonts w:eastAsia="Times New Roman"/>
          <w:b/>
          <w:bCs/>
          <w:i/>
          <w:lang w:val="kk-KZ"/>
        </w:rPr>
      </w:pPr>
    </w:p>
    <w:p w:rsidR="00A04433" w:rsidRPr="00C810CA" w:rsidRDefault="00A04433" w:rsidP="00DF0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04433" w:rsidRPr="00C8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4B1"/>
    <w:multiLevelType w:val="hybridMultilevel"/>
    <w:tmpl w:val="720001B2"/>
    <w:lvl w:ilvl="0" w:tplc="9B7669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61"/>
    <w:rsid w:val="000C3795"/>
    <w:rsid w:val="000C4E61"/>
    <w:rsid w:val="001026B3"/>
    <w:rsid w:val="002263FE"/>
    <w:rsid w:val="00353A27"/>
    <w:rsid w:val="003C0396"/>
    <w:rsid w:val="003C0A7A"/>
    <w:rsid w:val="0040424D"/>
    <w:rsid w:val="004B03D3"/>
    <w:rsid w:val="004C1B49"/>
    <w:rsid w:val="004E4DFD"/>
    <w:rsid w:val="00530949"/>
    <w:rsid w:val="007D4E6B"/>
    <w:rsid w:val="007D6FC7"/>
    <w:rsid w:val="00803F2D"/>
    <w:rsid w:val="008D411F"/>
    <w:rsid w:val="008F7C6A"/>
    <w:rsid w:val="009510B9"/>
    <w:rsid w:val="00991B7A"/>
    <w:rsid w:val="009D6271"/>
    <w:rsid w:val="00A04433"/>
    <w:rsid w:val="00A90507"/>
    <w:rsid w:val="00B84A54"/>
    <w:rsid w:val="00BD59F5"/>
    <w:rsid w:val="00C810CA"/>
    <w:rsid w:val="00CC3953"/>
    <w:rsid w:val="00D2602D"/>
    <w:rsid w:val="00DF0A41"/>
    <w:rsid w:val="00ED3032"/>
    <w:rsid w:val="00EF1E06"/>
    <w:rsid w:val="00F40340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A41"/>
    <w:rPr>
      <w:color w:val="0000FF" w:themeColor="hyperlink"/>
      <w:u w:val="single"/>
    </w:rPr>
  </w:style>
  <w:style w:type="paragraph" w:styleId="a4">
    <w:name w:val="No Spacing"/>
    <w:qFormat/>
    <w:rsid w:val="00DF0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3A2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A41"/>
    <w:rPr>
      <w:color w:val="0000FF" w:themeColor="hyperlink"/>
      <w:u w:val="single"/>
    </w:rPr>
  </w:style>
  <w:style w:type="paragraph" w:styleId="a4">
    <w:name w:val="No Spacing"/>
    <w:qFormat/>
    <w:rsid w:val="00DF0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3A2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ISO_01</dc:creator>
  <cp:lastModifiedBy>CTO_02</cp:lastModifiedBy>
  <cp:revision>17</cp:revision>
  <cp:lastPrinted>2019-08-22T08:45:00Z</cp:lastPrinted>
  <dcterms:created xsi:type="dcterms:W3CDTF">2019-08-22T08:22:00Z</dcterms:created>
  <dcterms:modified xsi:type="dcterms:W3CDTF">2019-08-23T04:08:00Z</dcterms:modified>
</cp:coreProperties>
</file>