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3B" w:rsidRDefault="00773A3B" w:rsidP="007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86B3B" w:rsidRDefault="00886B3B" w:rsidP="001D5226">
      <w:pPr>
        <w:autoSpaceDE w:val="0"/>
        <w:autoSpaceDN w:val="0"/>
        <w:adjustRightInd w:val="0"/>
        <w:spacing w:after="0" w:line="360" w:lineRule="auto"/>
        <w:rPr>
          <w:rFonts w:ascii="Montserrat-Bold" w:eastAsiaTheme="minorHAnsi" w:hAnsi="Montserrat-Bold" w:cs="Montserrat-Bold"/>
          <w:b/>
          <w:bCs/>
          <w:color w:val="008172"/>
          <w:sz w:val="24"/>
          <w:szCs w:val="24"/>
          <w:lang w:val="kk-KZ" w:eastAsia="en-US"/>
        </w:rPr>
      </w:pPr>
      <w:r w:rsidRPr="00886B3B">
        <w:rPr>
          <w:rFonts w:ascii="Montserrat-Bold" w:eastAsiaTheme="minorHAnsi" w:hAnsi="Montserrat-Bold" w:cs="Montserrat-Bold"/>
          <w:b/>
          <w:bCs/>
          <w:color w:val="008172"/>
          <w:sz w:val="24"/>
          <w:szCs w:val="24"/>
          <w:lang w:val="kk-KZ" w:eastAsia="en-US"/>
        </w:rPr>
        <w:t xml:space="preserve">ҰБТ-ҒА ӨТІНІШ ҚАБЫЛДАУ МЕРЗІМІ: 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653"/>
        <w:gridCol w:w="6065"/>
      </w:tblGrid>
      <w:tr w:rsidR="007B0FFC" w:rsidRPr="001D5226" w:rsidTr="007B0FFC">
        <w:trPr>
          <w:trHeight w:val="763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Өтініш</w:t>
            </w:r>
            <w:proofErr w:type="spellEnd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қабылдау</w:t>
            </w:r>
            <w:proofErr w:type="spellEnd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мерзімі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Тестілеу</w:t>
            </w:r>
            <w:proofErr w:type="spellEnd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мерзімі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5226">
              <w:rPr>
                <w:rFonts w:ascii="inherit" w:eastAsia="Times New Roman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Қатысушылар</w:t>
            </w:r>
            <w:proofErr w:type="spellEnd"/>
          </w:p>
        </w:tc>
      </w:tr>
      <w:tr w:rsidR="007B0FFC" w:rsidRPr="001D5226" w:rsidTr="007B0FFC">
        <w:trPr>
          <w:trHeight w:val="76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15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желтоқсан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20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қаңтар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1)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11 (12)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сынып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оқушылары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05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2)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жоғары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орнының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бірінші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академиялық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кезеңі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аяқталғанға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дейін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күндізгі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бөліміне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қабылданған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адамдар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27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3)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шығармашылық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дайындықты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талап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ететін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бағдарламалары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топтарында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оқитын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басқа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бағдарламалары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топтарына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ауысқысы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келетін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алушылар</w:t>
            </w:r>
            <w:proofErr w:type="spellEnd"/>
          </w:p>
        </w:tc>
      </w:tr>
      <w:tr w:rsidR="007B0FFC" w:rsidRPr="001D5226" w:rsidTr="001D5226">
        <w:trPr>
          <w:trHeight w:val="700"/>
        </w:trPr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15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ақпан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1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29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наурыз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11 (12)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сынып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оқушылары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630"/>
        </w:trPr>
        <w:tc>
          <w:tcPr>
            <w:tcW w:w="14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наурыз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мамыр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165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маусым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шілде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1)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жергілікті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қаражаты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есебінен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грантын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конкурсына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қатысу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ағымдағы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жылғы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02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жергілікті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қаражаты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есебінен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грантын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конкурсына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қатысу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өткен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жылғы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мен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техникалық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кәсіптік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кейінгі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21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3)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жергілікті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қаражаты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есебінен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грантын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конкурсына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қатысу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жоғары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білімнің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қысқартылған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оқыту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мерзімдерін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көздейтін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бағдарламалары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бойынша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түсетін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техникалық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кәсіптік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кейінгі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</w:p>
        </w:tc>
      </w:tr>
      <w:tr w:rsidR="007B0FFC" w:rsidRPr="001D5226" w:rsidTr="001D5226">
        <w:trPr>
          <w:trHeight w:val="1900"/>
        </w:trPr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10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мамыр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маусым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1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маусым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шілде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жергілікті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қаражаты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есебінен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грантын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конкурсына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қатысу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халықаралық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алмасу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желісі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бойынша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шетелде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мен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шетелде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Қазақстан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Республикасының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азаматы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болып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табылмайтын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ұлты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қазақ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адамдар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853"/>
        </w:trPr>
        <w:tc>
          <w:tcPr>
            <w:tcW w:w="14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 25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шілде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тамыз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165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FFC" w:rsidRPr="005229FB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B0FFC" w:rsidRPr="001D5226" w:rsidRDefault="007B0FFC" w:rsidP="007B0F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тамыз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аралығы</w:t>
            </w:r>
            <w:proofErr w:type="spellEnd"/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1)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ағымдағы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жылғы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4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2)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өткен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жылғы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мен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техникалық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кәсіптік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немесе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білімнен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кейінгі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55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3)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ақылы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негізде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оқуға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қабылдау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үшін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халықаралық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алмасу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желісі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бойынша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шетелде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ұйымдарының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бітірушілері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мен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шетелде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алған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Қазақстан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Республикасының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азаматы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болып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табылмайтын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ұлты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қазақ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адамдар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7B0FFC" w:rsidRPr="001D5226" w:rsidTr="001D5226">
        <w:trPr>
          <w:trHeight w:val="12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0FFC" w:rsidRPr="001D5226" w:rsidRDefault="007B0FFC" w:rsidP="007B0F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D5226">
              <w:rPr>
                <w:rFonts w:ascii="Arial" w:eastAsia="Times New Roman" w:hAnsi="Arial" w:cs="Arial"/>
                <w:sz w:val="20"/>
                <w:szCs w:val="20"/>
              </w:rPr>
              <w:t>4) ЖОО-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ның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шығармашылық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дайындықты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талап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ететін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бағдарламалары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топтарында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оқитын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және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басқа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бағдарламалары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топтарына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ауысқысы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келетін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білім</w:t>
            </w:r>
            <w:proofErr w:type="spellEnd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5226">
              <w:rPr>
                <w:rFonts w:ascii="Arial" w:eastAsia="Times New Roman" w:hAnsi="Arial" w:cs="Arial"/>
                <w:sz w:val="20"/>
                <w:szCs w:val="20"/>
              </w:rPr>
              <w:t>алушылар</w:t>
            </w:r>
            <w:proofErr w:type="spellEnd"/>
          </w:p>
        </w:tc>
      </w:tr>
    </w:tbl>
    <w:p w:rsidR="001D5226" w:rsidRPr="00886B3B" w:rsidRDefault="001D5226" w:rsidP="001D5226">
      <w:pPr>
        <w:autoSpaceDE w:val="0"/>
        <w:autoSpaceDN w:val="0"/>
        <w:adjustRightInd w:val="0"/>
        <w:spacing w:after="0" w:line="360" w:lineRule="auto"/>
        <w:rPr>
          <w:rFonts w:ascii="Montserrat-SemiBold" w:eastAsiaTheme="minorHAnsi" w:hAnsi="Montserrat-SemiBold" w:cs="Montserrat-SemiBold"/>
          <w:b/>
          <w:bCs/>
          <w:color w:val="58595B"/>
          <w:sz w:val="24"/>
          <w:szCs w:val="24"/>
          <w:lang w:val="kk-KZ" w:eastAsia="en-US"/>
        </w:rPr>
      </w:pPr>
    </w:p>
    <w:p w:rsidR="00773A3B" w:rsidRDefault="00773A3B" w:rsidP="007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3A3B" w:rsidRDefault="00773A3B" w:rsidP="007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Оқуға түсушілерден </w:t>
      </w:r>
      <w:r w:rsidRPr="000A20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шығармашылық емтихан тапсыру үшін өтініштер</w:t>
      </w:r>
      <w:r w:rsidRPr="00E876D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күнтізбелік жылғы </w:t>
      </w:r>
      <w:r w:rsidRPr="000A20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 маусым мен 7 шілде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аралығында жүзеге асырылады.</w:t>
      </w:r>
    </w:p>
    <w:p w:rsidR="00886B3B" w:rsidRDefault="00886B3B" w:rsidP="00773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86B3B" w:rsidRPr="00886B3B" w:rsidRDefault="00886B3B" w:rsidP="00886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6B3B">
        <w:rPr>
          <w:rFonts w:ascii="Montserrat-Bold" w:eastAsiaTheme="minorHAnsi" w:hAnsi="Montserrat-Bold" w:cs="Montserrat-Bold"/>
          <w:b/>
          <w:bCs/>
          <w:color w:val="008172"/>
          <w:sz w:val="24"/>
          <w:szCs w:val="24"/>
          <w:lang w:val="kk-KZ" w:eastAsia="en-US"/>
        </w:rPr>
        <w:t xml:space="preserve">ШЫҒАРМАШЫЛЫҚ ЕМТИХАНДАР: </w:t>
      </w:r>
      <w:r w:rsidRPr="00886B3B">
        <w:rPr>
          <w:rFonts w:ascii="Montserrat-SemiBold" w:eastAsiaTheme="minorHAnsi" w:hAnsi="Montserrat-SemiBold" w:cs="Montserrat-SemiBold"/>
          <w:b/>
          <w:bCs/>
          <w:color w:val="58595B"/>
          <w:sz w:val="24"/>
          <w:szCs w:val="24"/>
          <w:lang w:val="kk-KZ" w:eastAsia="en-US"/>
        </w:rPr>
        <w:t>8 – 13 шілде аралығында</w:t>
      </w:r>
    </w:p>
    <w:p w:rsidR="00E40EC1" w:rsidRDefault="00E40EC1" w:rsidP="00CA5370">
      <w:pPr>
        <w:pStyle w:val="a3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EC1" w:rsidRPr="00773A3B" w:rsidRDefault="00E40EC1">
      <w:pPr>
        <w:rPr>
          <w:lang w:val="kk-KZ"/>
        </w:rPr>
      </w:pPr>
    </w:p>
    <w:sectPr w:rsidR="00E40EC1" w:rsidRPr="0077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75C"/>
    <w:multiLevelType w:val="hybridMultilevel"/>
    <w:tmpl w:val="D0468D4A"/>
    <w:lvl w:ilvl="0" w:tplc="F9A4CF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F"/>
    <w:rsid w:val="000A206B"/>
    <w:rsid w:val="001D5226"/>
    <w:rsid w:val="002A2530"/>
    <w:rsid w:val="00411F13"/>
    <w:rsid w:val="00413958"/>
    <w:rsid w:val="005229FB"/>
    <w:rsid w:val="00773A3B"/>
    <w:rsid w:val="007B0FFC"/>
    <w:rsid w:val="00886B3B"/>
    <w:rsid w:val="009A68B6"/>
    <w:rsid w:val="00AC3189"/>
    <w:rsid w:val="00B830E8"/>
    <w:rsid w:val="00BB1FCC"/>
    <w:rsid w:val="00C92CAC"/>
    <w:rsid w:val="00CA5370"/>
    <w:rsid w:val="00D96DBE"/>
    <w:rsid w:val="00E00F3F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8181"/>
  <w15:chartTrackingRefBased/>
  <w15:docId w15:val="{7C953975-5D2C-4DC3-961B-77D6FC3D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13</cp:revision>
  <dcterms:created xsi:type="dcterms:W3CDTF">2019-02-25T04:46:00Z</dcterms:created>
  <dcterms:modified xsi:type="dcterms:W3CDTF">2019-02-25T07:01:00Z</dcterms:modified>
</cp:coreProperties>
</file>